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jc w:val="center"/>
        <w:rPr>
          <w:rFonts w:hint="eastAsia" w:ascii="宋体" w:hAnsi="宋体" w:eastAsia="宋体" w:cs="宋体"/>
          <w:b/>
          <w:color w:val="auto"/>
          <w:sz w:val="48"/>
          <w:szCs w:val="48"/>
          <w:highlight w:val="none"/>
        </w:rPr>
      </w:pPr>
    </w:p>
    <w:p>
      <w:pPr>
        <w:spacing w:beforeLines="50" w:afterLines="50" w:line="360" w:lineRule="auto"/>
        <w:jc w:val="center"/>
        <w:rPr>
          <w:rFonts w:hint="eastAsia" w:ascii="宋体" w:hAnsi="宋体" w:eastAsia="宋体" w:cs="宋体"/>
          <w:b/>
          <w:color w:val="auto"/>
          <w:sz w:val="48"/>
          <w:szCs w:val="48"/>
          <w:highlight w:val="none"/>
        </w:rPr>
      </w:pPr>
    </w:p>
    <w:p>
      <w:pPr>
        <w:spacing w:beforeLines="50" w:afterLines="50"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南通日报社（南通报业传媒集团）</w:t>
      </w:r>
    </w:p>
    <w:p>
      <w:pPr>
        <w:spacing w:beforeLines="50" w:afterLines="50" w:line="360" w:lineRule="auto"/>
        <w:jc w:val="center"/>
        <w:rPr>
          <w:rFonts w:hint="eastAsia" w:ascii="宋体" w:hAnsi="宋体" w:eastAsia="宋体" w:cs="宋体"/>
          <w:b/>
          <w:color w:val="auto"/>
          <w:sz w:val="72"/>
          <w:szCs w:val="72"/>
          <w:highlight w:val="none"/>
        </w:rPr>
      </w:pPr>
      <w:r>
        <w:rPr>
          <w:rFonts w:hint="eastAsia" w:ascii="宋体" w:hAnsi="宋体" w:eastAsia="宋体" w:cs="宋体"/>
          <w:b/>
          <w:color w:val="auto"/>
          <w:sz w:val="48"/>
          <w:szCs w:val="48"/>
          <w:highlight w:val="none"/>
        </w:rPr>
        <w:t>网络信息系统安全等级保护测评服务项目</w:t>
      </w:r>
    </w:p>
    <w:p>
      <w:pPr>
        <w:pStyle w:val="22"/>
        <w:rPr>
          <w:rFonts w:hint="eastAsia" w:ascii="宋体" w:hAnsi="宋体" w:eastAsia="宋体" w:cs="宋体"/>
          <w:color w:val="auto"/>
          <w:highlight w:val="none"/>
        </w:rPr>
      </w:pPr>
    </w:p>
    <w:p>
      <w:pPr>
        <w:spacing w:beforeLines="50" w:afterLines="50"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竞争性磋商</w:t>
      </w:r>
      <w:r>
        <w:rPr>
          <w:rFonts w:hint="eastAsia" w:ascii="宋体" w:hAnsi="宋体" w:eastAsia="宋体" w:cs="宋体"/>
          <w:b/>
          <w:color w:val="auto"/>
          <w:sz w:val="44"/>
          <w:szCs w:val="44"/>
          <w:highlight w:val="none"/>
          <w:lang w:val="en-US" w:eastAsia="zh-CN"/>
        </w:rPr>
        <w:t>采购</w:t>
      </w:r>
      <w:r>
        <w:rPr>
          <w:rFonts w:hint="eastAsia" w:ascii="宋体" w:hAnsi="宋体" w:eastAsia="宋体" w:cs="宋体"/>
          <w:b/>
          <w:color w:val="auto"/>
          <w:sz w:val="44"/>
          <w:szCs w:val="44"/>
          <w:highlight w:val="none"/>
        </w:rPr>
        <w:t>文件</w:t>
      </w:r>
    </w:p>
    <w:p>
      <w:pPr>
        <w:spacing w:beforeLines="50" w:afterLines="50" w:line="360" w:lineRule="auto"/>
        <w:rPr>
          <w:rFonts w:hint="eastAsia" w:ascii="宋体" w:hAnsi="宋体" w:eastAsia="宋体" w:cs="宋体"/>
          <w:color w:val="auto"/>
          <w:sz w:val="28"/>
          <w:szCs w:val="28"/>
          <w:highlight w:val="none"/>
        </w:rPr>
      </w:pPr>
    </w:p>
    <w:p>
      <w:pPr>
        <w:spacing w:beforeLines="50" w:afterLines="50" w:line="360" w:lineRule="auto"/>
        <w:rPr>
          <w:rFonts w:hint="eastAsia" w:ascii="宋体" w:hAnsi="宋体" w:eastAsia="宋体" w:cs="宋体"/>
          <w:color w:val="auto"/>
          <w:sz w:val="28"/>
          <w:szCs w:val="28"/>
          <w:highlight w:val="none"/>
        </w:rPr>
      </w:pPr>
    </w:p>
    <w:p>
      <w:pPr>
        <w:spacing w:beforeLines="50" w:afterLines="50" w:line="360" w:lineRule="auto"/>
        <w:rPr>
          <w:rFonts w:hint="eastAsia" w:ascii="宋体" w:hAnsi="宋体" w:eastAsia="宋体" w:cs="宋体"/>
          <w:b/>
          <w:color w:val="auto"/>
          <w:sz w:val="32"/>
          <w:szCs w:val="32"/>
          <w:highlight w:val="none"/>
        </w:rPr>
      </w:pPr>
    </w:p>
    <w:p>
      <w:pPr>
        <w:pStyle w:val="22"/>
        <w:rPr>
          <w:rFonts w:hint="eastAsia" w:ascii="宋体" w:hAnsi="宋体" w:eastAsia="宋体" w:cs="宋体"/>
          <w:color w:val="auto"/>
          <w:highlight w:val="none"/>
        </w:rPr>
      </w:pPr>
    </w:p>
    <w:p>
      <w:pPr>
        <w:spacing w:beforeLines="50" w:afterLines="50" w:line="360" w:lineRule="auto"/>
        <w:rPr>
          <w:rFonts w:hint="eastAsia" w:ascii="宋体" w:hAnsi="宋体" w:eastAsia="宋体" w:cs="宋体"/>
          <w:b/>
          <w:color w:val="auto"/>
          <w:sz w:val="32"/>
          <w:szCs w:val="32"/>
          <w:highlight w:val="none"/>
        </w:rPr>
      </w:pPr>
    </w:p>
    <w:p>
      <w:pPr>
        <w:pStyle w:val="22"/>
        <w:rPr>
          <w:rFonts w:hint="eastAsia" w:ascii="宋体" w:hAnsi="宋体" w:eastAsia="宋体" w:cs="宋体"/>
          <w:color w:val="auto"/>
          <w:highlight w:val="none"/>
        </w:rPr>
      </w:pPr>
    </w:p>
    <w:p>
      <w:pPr>
        <w:pStyle w:val="22"/>
        <w:rPr>
          <w:rFonts w:hint="eastAsia" w:ascii="宋体" w:hAnsi="宋体" w:eastAsia="宋体" w:cs="宋体"/>
          <w:color w:val="auto"/>
          <w:highlight w:val="none"/>
        </w:rPr>
      </w:pPr>
    </w:p>
    <w:p>
      <w:pPr>
        <w:spacing w:beforeLines="100" w:afterLines="100" w:line="360" w:lineRule="auto"/>
        <w:ind w:firstLine="1431" w:firstLineChars="396"/>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南通日报社（南通报业传媒集团）</w:t>
      </w:r>
    </w:p>
    <w:p>
      <w:pPr>
        <w:spacing w:beforeLines="100" w:afterLines="100" w:line="360" w:lineRule="auto"/>
        <w:ind w:firstLine="2877" w:firstLineChars="796"/>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2021年</w:t>
      </w:r>
      <w:r>
        <w:rPr>
          <w:rFonts w:hint="eastAsia" w:ascii="宋体" w:hAnsi="宋体" w:cs="宋体"/>
          <w:b/>
          <w:color w:val="auto"/>
          <w:sz w:val="36"/>
          <w:szCs w:val="36"/>
          <w:highlight w:val="none"/>
          <w:lang w:val="en-US" w:eastAsia="zh-CN"/>
        </w:rPr>
        <w:t>12</w:t>
      </w:r>
      <w:r>
        <w:rPr>
          <w:rFonts w:hint="eastAsia" w:ascii="宋体" w:hAnsi="宋体" w:eastAsia="宋体" w:cs="宋体"/>
          <w:b/>
          <w:color w:val="auto"/>
          <w:sz w:val="36"/>
          <w:szCs w:val="36"/>
          <w:highlight w:val="none"/>
        </w:rPr>
        <w:t>月</w:t>
      </w:r>
      <w:r>
        <w:rPr>
          <w:rFonts w:hint="eastAsia" w:ascii="宋体" w:hAnsi="宋体" w:cs="宋体"/>
          <w:b/>
          <w:color w:val="auto"/>
          <w:sz w:val="36"/>
          <w:szCs w:val="36"/>
          <w:highlight w:val="none"/>
          <w:lang w:val="en-US" w:eastAsia="zh-CN"/>
        </w:rPr>
        <w:t>14</w:t>
      </w:r>
      <w:r>
        <w:rPr>
          <w:rFonts w:hint="eastAsia" w:ascii="宋体" w:hAnsi="宋体" w:eastAsia="宋体" w:cs="宋体"/>
          <w:b/>
          <w:color w:val="auto"/>
          <w:sz w:val="36"/>
          <w:szCs w:val="36"/>
          <w:highlight w:val="none"/>
        </w:rPr>
        <w:t>日</w:t>
      </w:r>
    </w:p>
    <w:p>
      <w:pPr>
        <w:widowControl/>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pStyle w:val="25"/>
        <w:ind w:firstLine="3855" w:firstLineChars="1200"/>
        <w:jc w:val="both"/>
        <w:rPr>
          <w:rFonts w:hint="eastAsia" w:ascii="宋体" w:hAnsi="宋体" w:eastAsia="宋体" w:cs="宋体"/>
          <w:color w:val="auto"/>
          <w:sz w:val="32"/>
          <w:szCs w:val="32"/>
          <w:highlight w:val="none"/>
          <w:lang w:val="zh-CN"/>
        </w:rPr>
      </w:pPr>
    </w:p>
    <w:p>
      <w:pPr>
        <w:pStyle w:val="25"/>
        <w:ind w:firstLine="3855" w:firstLineChars="1200"/>
        <w:jc w:val="both"/>
        <w:rPr>
          <w:rFonts w:hint="eastAsia" w:ascii="宋体" w:hAnsi="宋体" w:eastAsia="宋体" w:cs="宋体"/>
          <w:color w:val="auto"/>
          <w:sz w:val="32"/>
          <w:szCs w:val="32"/>
          <w:highlight w:val="none"/>
          <w:lang w:val="zh-CN"/>
        </w:rPr>
      </w:pPr>
      <w:r>
        <w:rPr>
          <w:rFonts w:hint="eastAsia" w:ascii="宋体" w:hAnsi="宋体" w:eastAsia="宋体" w:cs="宋体"/>
          <w:color w:val="auto"/>
          <w:sz w:val="32"/>
          <w:szCs w:val="32"/>
          <w:highlight w:val="none"/>
          <w:lang w:val="zh-CN"/>
        </w:rPr>
        <w:t>目  录</w:t>
      </w:r>
    </w:p>
    <w:p>
      <w:pPr>
        <w:rPr>
          <w:rFonts w:hint="eastAsia"/>
          <w:color w:val="auto"/>
          <w:highlight w:val="none"/>
        </w:rPr>
      </w:pPr>
    </w:p>
    <w:p>
      <w:pPr>
        <w:pStyle w:val="14"/>
        <w:tabs>
          <w:tab w:val="right" w:leader="dot" w:pos="8306"/>
        </w:tabs>
        <w:spacing w:line="360" w:lineRule="auto"/>
        <w:rPr>
          <w:rFonts w:hint="eastAsia" w:ascii="宋体" w:hAnsi="宋体" w:eastAsia="宋体" w:cs="宋体"/>
          <w:color w:val="auto"/>
          <w:highlight w:val="none"/>
        </w:rPr>
      </w:pPr>
      <w:r>
        <w:rPr>
          <w:rFonts w:hint="eastAsia" w:ascii="宋体" w:hAnsi="宋体" w:eastAsia="宋体" w:cs="宋体"/>
          <w:color w:val="auto"/>
          <w:sz w:val="40"/>
          <w:szCs w:val="40"/>
          <w:highlight w:val="none"/>
        </w:rPr>
        <w:fldChar w:fldCharType="begin"/>
      </w:r>
      <w:r>
        <w:rPr>
          <w:rFonts w:hint="eastAsia" w:ascii="宋体" w:hAnsi="宋体" w:eastAsia="宋体" w:cs="宋体"/>
          <w:color w:val="auto"/>
          <w:sz w:val="40"/>
          <w:szCs w:val="40"/>
          <w:highlight w:val="none"/>
        </w:rPr>
        <w:instrText xml:space="preserve"> TOC \o "1-3" \h \z \u </w:instrText>
      </w:r>
      <w:r>
        <w:rPr>
          <w:rFonts w:hint="eastAsia" w:ascii="宋体" w:hAnsi="宋体" w:eastAsia="宋体" w:cs="宋体"/>
          <w:color w:val="auto"/>
          <w:sz w:val="40"/>
          <w:szCs w:val="40"/>
          <w:highlight w:val="none"/>
        </w:rPr>
        <w:fldChar w:fldCharType="separate"/>
      </w:r>
      <w:r>
        <w:rPr>
          <w:rFonts w:hint="eastAsia" w:ascii="宋体" w:hAnsi="宋体" w:eastAsia="宋体" w:cs="宋体"/>
          <w:color w:val="auto"/>
          <w:sz w:val="28"/>
          <w:highlight w:val="none"/>
        </w:rPr>
        <w:fldChar w:fldCharType="begin"/>
      </w:r>
      <w:r>
        <w:rPr>
          <w:rFonts w:hint="eastAsia" w:ascii="宋体" w:hAnsi="宋体" w:eastAsia="宋体" w:cs="宋体"/>
          <w:color w:val="auto"/>
          <w:sz w:val="28"/>
          <w:highlight w:val="none"/>
        </w:rPr>
        <w:instrText xml:space="preserve"> TOC \o "1-3" \h \z \u </w:instrText>
      </w:r>
      <w:r>
        <w:rPr>
          <w:rFonts w:hint="eastAsia" w:ascii="宋体" w:hAnsi="宋体" w:eastAsia="宋体" w:cs="宋体"/>
          <w:color w:val="auto"/>
          <w:sz w:val="28"/>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_Toc3291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xml:space="preserve">第一部分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竞争性磋商</w:t>
      </w:r>
      <w:r>
        <w:rPr>
          <w:rFonts w:hint="eastAsia" w:ascii="宋体" w:hAnsi="宋体" w:eastAsia="宋体" w:cs="宋体"/>
          <w:color w:val="auto"/>
          <w:highlight w:val="none"/>
          <w:lang w:val="en-US" w:eastAsia="zh-CN"/>
        </w:rPr>
        <w:t>公告</w:t>
      </w:r>
      <w:r>
        <w:rPr>
          <w:rFonts w:hint="eastAsia" w:ascii="宋体" w:hAnsi="宋体" w:eastAsia="宋体" w:cs="宋体"/>
          <w:color w:val="auto"/>
          <w:highlight w:val="none"/>
        </w:rPr>
        <w:tab/>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fldChar w:fldCharType="end"/>
      </w:r>
    </w:p>
    <w:p>
      <w:pPr>
        <w:pStyle w:val="14"/>
        <w:tabs>
          <w:tab w:val="right" w:leader="dot" w:pos="8306"/>
        </w:tabs>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_Toc9820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8"/>
          <w:highlight w:val="none"/>
        </w:rPr>
        <w:t xml:space="preserve">第二部分 </w:t>
      </w:r>
      <w:r>
        <w:rPr>
          <w:rFonts w:hint="eastAsia" w:ascii="宋体" w:hAnsi="宋体" w:eastAsia="宋体" w:cs="宋体"/>
          <w:color w:val="auto"/>
          <w:szCs w:val="28"/>
          <w:highlight w:val="none"/>
          <w:lang w:val="en-US" w:eastAsia="zh-CN"/>
        </w:rPr>
        <w:t xml:space="preserve"> </w:t>
      </w:r>
      <w:r>
        <w:rPr>
          <w:rFonts w:hint="eastAsia" w:ascii="宋体" w:hAnsi="宋体" w:eastAsia="宋体" w:cs="宋体"/>
          <w:color w:val="auto"/>
          <w:szCs w:val="28"/>
          <w:highlight w:val="none"/>
        </w:rPr>
        <w:t>供应商磋商须知</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end"/>
      </w:r>
      <w:r>
        <w:rPr>
          <w:rFonts w:hint="eastAsia" w:ascii="宋体" w:hAnsi="宋体" w:eastAsia="宋体" w:cs="宋体"/>
          <w:color w:val="auto"/>
          <w:highlight w:val="none"/>
          <w:lang w:val="en-US" w:eastAsia="zh-CN"/>
        </w:rPr>
        <w:t>5</w:t>
      </w:r>
    </w:p>
    <w:p>
      <w:pPr>
        <w:pStyle w:val="14"/>
        <w:tabs>
          <w:tab w:val="right" w:leader="dot" w:pos="8306"/>
        </w:tabs>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_Toc12524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第三部分  采购需求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end"/>
      </w:r>
      <w:r>
        <w:rPr>
          <w:rFonts w:hint="eastAsia" w:ascii="宋体" w:hAnsi="宋体" w:cs="宋体"/>
          <w:color w:val="auto"/>
          <w:highlight w:val="none"/>
          <w:lang w:val="en-US" w:eastAsia="zh-CN"/>
        </w:rPr>
        <w:t>9</w:t>
      </w:r>
    </w:p>
    <w:p>
      <w:pPr>
        <w:pStyle w:val="14"/>
        <w:tabs>
          <w:tab w:val="right" w:leader="dot" w:pos="8306"/>
        </w:tabs>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_Toc18222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8"/>
          <w:highlight w:val="none"/>
          <w:lang w:val="zh-CN"/>
        </w:rPr>
        <w:t>第四部分  磋商评审程序和内容</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1</w:t>
      </w:r>
      <w:r>
        <w:rPr>
          <w:rFonts w:hint="eastAsia" w:ascii="宋体" w:hAnsi="宋体" w:cs="宋体"/>
          <w:color w:val="auto"/>
          <w:highlight w:val="none"/>
          <w:lang w:val="en-US" w:eastAsia="zh-CN"/>
        </w:rPr>
        <w:t>2</w:t>
      </w:r>
    </w:p>
    <w:p>
      <w:pPr>
        <w:pStyle w:val="14"/>
        <w:tabs>
          <w:tab w:val="right" w:leader="dot" w:pos="8306"/>
        </w:tabs>
        <w:spacing w:line="360" w:lineRule="auto"/>
        <w:rPr>
          <w:rFonts w:hint="default" w:ascii="宋体" w:hAnsi="宋体" w:eastAsia="宋体" w:cs="宋体"/>
          <w:color w:val="auto"/>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_Toc28934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8"/>
          <w:highlight w:val="none"/>
        </w:rPr>
        <w:t>第五部分  拟签订的合同文本格式及条款</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end"/>
      </w:r>
      <w:r>
        <w:rPr>
          <w:rFonts w:hint="eastAsia" w:ascii="宋体" w:hAnsi="宋体" w:cs="宋体"/>
          <w:color w:val="auto"/>
          <w:highlight w:val="none"/>
          <w:lang w:val="en-US" w:eastAsia="zh-CN"/>
        </w:rPr>
        <w:t>17</w:t>
      </w:r>
    </w:p>
    <w:p>
      <w:pPr>
        <w:pStyle w:val="14"/>
        <w:tabs>
          <w:tab w:val="right" w:leader="dot" w:pos="8306"/>
        </w:tabs>
        <w:spacing w:line="360" w:lineRule="auto"/>
        <w:rPr>
          <w:rFonts w:hint="default" w:ascii="宋体" w:hAnsi="宋体" w:eastAsia="宋体" w:cs="宋体"/>
          <w:color w:val="auto"/>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_Toc16982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第六部分  质疑提出和处理</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end"/>
      </w: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1</w:t>
      </w:r>
    </w:p>
    <w:p>
      <w:pPr>
        <w:pStyle w:val="14"/>
        <w:tabs>
          <w:tab w:val="right" w:leader="dot" w:pos="8306"/>
        </w:tabs>
        <w:spacing w:line="360" w:lineRule="auto"/>
        <w:rPr>
          <w:rFonts w:hint="default" w:ascii="宋体" w:hAnsi="宋体" w:eastAsia="宋体" w:cs="宋体"/>
          <w:color w:val="auto"/>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_Toc25551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第七部分  响应文件组成及编制要求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end"/>
      </w: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4</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end"/>
      </w:r>
    </w:p>
    <w:p>
      <w:pPr>
        <w:pStyle w:val="14"/>
        <w:tabs>
          <w:tab w:val="right" w:leader="dot" w:pos="9344"/>
        </w:tabs>
        <w:spacing w:line="360" w:lineRule="auto"/>
        <w:rPr>
          <w:rFonts w:hint="eastAsia" w:ascii="宋体" w:hAnsi="宋体" w:eastAsia="宋体" w:cs="宋体"/>
          <w:color w:val="auto"/>
          <w:sz w:val="28"/>
          <w:szCs w:val="32"/>
          <w:highlight w:val="none"/>
        </w:rPr>
      </w:pPr>
    </w:p>
    <w:p>
      <w:pPr>
        <w:rPr>
          <w:rFonts w:hint="eastAsia" w:ascii="宋体" w:hAnsi="宋体" w:eastAsia="宋体" w:cs="宋体"/>
          <w:color w:val="auto"/>
          <w:sz w:val="40"/>
          <w:szCs w:val="40"/>
          <w:highlight w:val="none"/>
        </w:rPr>
      </w:pPr>
      <w:r>
        <w:rPr>
          <w:rFonts w:hint="eastAsia" w:ascii="宋体" w:hAnsi="宋体" w:eastAsia="宋体" w:cs="宋体"/>
          <w:color w:val="auto"/>
          <w:sz w:val="40"/>
          <w:szCs w:val="40"/>
          <w:highlight w:val="none"/>
        </w:rPr>
        <w:fldChar w:fldCharType="end"/>
      </w:r>
    </w:p>
    <w:p>
      <w:pPr>
        <w:widowControl/>
        <w:jc w:val="left"/>
        <w:rPr>
          <w:rFonts w:hint="eastAsia" w:ascii="宋体" w:hAnsi="宋体" w:eastAsia="宋体" w:cs="宋体"/>
          <w:color w:val="auto"/>
          <w:sz w:val="28"/>
          <w:szCs w:val="28"/>
          <w:highlight w:val="none"/>
        </w:rPr>
      </w:pPr>
    </w:p>
    <w:p>
      <w:pPr>
        <w:spacing w:beforeLines="50" w:afterLines="50" w:line="360" w:lineRule="auto"/>
        <w:jc w:val="center"/>
        <w:rPr>
          <w:rFonts w:hint="eastAsia" w:ascii="宋体" w:hAnsi="宋体" w:eastAsia="宋体" w:cs="宋体"/>
          <w:b/>
          <w:bCs/>
          <w:color w:val="auto"/>
          <w:sz w:val="30"/>
          <w:szCs w:val="30"/>
          <w:highlight w:val="none"/>
        </w:rPr>
      </w:pPr>
      <w:r>
        <w:rPr>
          <w:rFonts w:hint="eastAsia" w:ascii="宋体" w:hAnsi="宋体" w:eastAsia="宋体" w:cs="宋体"/>
          <w:color w:val="auto"/>
          <w:highlight w:val="none"/>
        </w:rPr>
        <w:br w:type="page"/>
      </w:r>
      <w:bookmarkStart w:id="0" w:name="_Toc38556321"/>
      <w:bookmarkStart w:id="1" w:name="_Toc42779651"/>
      <w:r>
        <w:rPr>
          <w:rFonts w:hint="eastAsia" w:ascii="宋体" w:hAnsi="宋体" w:eastAsia="宋体" w:cs="宋体"/>
          <w:b/>
          <w:bCs/>
          <w:color w:val="auto"/>
          <w:sz w:val="30"/>
          <w:szCs w:val="30"/>
          <w:highlight w:val="none"/>
          <w:lang w:val="en-US" w:eastAsia="zh-CN"/>
        </w:rPr>
        <w:t>第一部分</w:t>
      </w:r>
      <w:r>
        <w:rPr>
          <w:rFonts w:hint="eastAsia" w:ascii="宋体" w:hAnsi="宋体" w:cs="宋体"/>
          <w:b/>
          <w:bCs/>
          <w:color w:val="auto"/>
          <w:sz w:val="30"/>
          <w:szCs w:val="30"/>
          <w:highlight w:val="none"/>
          <w:lang w:val="en-US" w:eastAsia="zh-CN"/>
        </w:rPr>
        <w:t xml:space="preserve"> </w:t>
      </w:r>
      <w:r>
        <w:rPr>
          <w:rFonts w:hint="eastAsia" w:ascii="宋体" w:hAnsi="宋体" w:eastAsia="宋体" w:cs="宋体"/>
          <w:b/>
          <w:bCs/>
          <w:color w:val="auto"/>
          <w:sz w:val="30"/>
          <w:szCs w:val="30"/>
          <w:highlight w:val="none"/>
        </w:rPr>
        <w:t>南通日报社（南通报业传媒集团）</w:t>
      </w:r>
    </w:p>
    <w:p>
      <w:pPr>
        <w:spacing w:beforeLines="50" w:afterLines="50" w:line="360" w:lineRule="auto"/>
        <w:jc w:val="center"/>
        <w:rPr>
          <w:rFonts w:hint="eastAsia" w:ascii="宋体" w:hAnsi="宋体" w:eastAsia="宋体" w:cs="宋体"/>
          <w:color w:val="auto"/>
          <w:highlight w:val="none"/>
          <w:lang w:val="en-US" w:eastAsia="zh-CN"/>
        </w:rPr>
      </w:pPr>
      <w:r>
        <w:rPr>
          <w:rFonts w:hint="eastAsia" w:ascii="宋体" w:hAnsi="宋体" w:eastAsia="宋体" w:cs="宋体"/>
          <w:b/>
          <w:color w:val="auto"/>
          <w:sz w:val="36"/>
          <w:szCs w:val="36"/>
          <w:highlight w:val="none"/>
        </w:rPr>
        <w:t>网络信息系统安全等级保护测评服务项目</w:t>
      </w:r>
    </w:p>
    <w:p>
      <w:pPr>
        <w:pStyle w:val="17"/>
        <w:rPr>
          <w:rFonts w:hint="eastAsia" w:ascii="宋体" w:hAnsi="宋体" w:eastAsia="宋体" w:cs="宋体"/>
          <w:b/>
          <w:bCs/>
          <w:color w:val="auto"/>
          <w:kern w:val="0"/>
          <w:sz w:val="32"/>
          <w:szCs w:val="32"/>
          <w:highlight w:val="none"/>
        </w:rPr>
      </w:pPr>
      <w:r>
        <w:rPr>
          <w:rFonts w:hint="eastAsia" w:ascii="宋体" w:hAnsi="宋体" w:eastAsia="宋体" w:cs="宋体"/>
          <w:color w:val="auto"/>
          <w:sz w:val="32"/>
          <w:szCs w:val="32"/>
          <w:highlight w:val="none"/>
        </w:rPr>
        <w:t>竞争性磋商</w:t>
      </w:r>
      <w:r>
        <w:rPr>
          <w:rFonts w:hint="eastAsia" w:ascii="宋体" w:hAnsi="宋体" w:cs="宋体"/>
          <w:color w:val="auto"/>
          <w:sz w:val="32"/>
          <w:szCs w:val="32"/>
          <w:highlight w:val="none"/>
          <w:lang w:val="en-US" w:eastAsia="zh-CN"/>
        </w:rPr>
        <w:t>采购</w:t>
      </w:r>
      <w:r>
        <w:rPr>
          <w:rFonts w:hint="eastAsia" w:ascii="宋体" w:hAnsi="宋体" w:eastAsia="宋体" w:cs="宋体"/>
          <w:color w:val="auto"/>
          <w:sz w:val="32"/>
          <w:szCs w:val="32"/>
          <w:highlight w:val="none"/>
        </w:rPr>
        <w:t>公告</w:t>
      </w:r>
      <w:bookmarkEnd w:id="0"/>
      <w:bookmarkEnd w:id="1"/>
    </w:p>
    <w:p>
      <w:pPr>
        <w:numPr>
          <w:ilvl w:val="0"/>
          <w:numId w:val="0"/>
        </w:numPr>
        <w:snapToGrid w:val="0"/>
        <w:spacing w:line="480" w:lineRule="exact"/>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一、</w:t>
      </w:r>
      <w:r>
        <w:rPr>
          <w:rFonts w:hint="eastAsia" w:ascii="宋体" w:hAnsi="宋体" w:eastAsia="宋体" w:cs="宋体"/>
          <w:b/>
          <w:bCs/>
          <w:color w:val="auto"/>
          <w:kern w:val="0"/>
          <w:sz w:val="24"/>
          <w:szCs w:val="24"/>
          <w:highlight w:val="none"/>
        </w:rPr>
        <w:t>采购项目名称：</w:t>
      </w:r>
      <w:r>
        <w:rPr>
          <w:rFonts w:hint="eastAsia" w:ascii="宋体" w:hAnsi="宋体" w:eastAsia="宋体" w:cs="宋体"/>
          <w:color w:val="auto"/>
          <w:kern w:val="0"/>
          <w:sz w:val="24"/>
          <w:szCs w:val="24"/>
          <w:highlight w:val="none"/>
        </w:rPr>
        <w:t>南通日报社（南通报业传媒集团）网络信息系统安全等级保护测评服务项目</w:t>
      </w:r>
    </w:p>
    <w:p>
      <w:pPr>
        <w:numPr>
          <w:ilvl w:val="0"/>
          <w:numId w:val="0"/>
        </w:numPr>
        <w:snapToGrid w:val="0"/>
        <w:spacing w:line="48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二、</w:t>
      </w:r>
      <w:r>
        <w:rPr>
          <w:rFonts w:hint="eastAsia" w:ascii="宋体" w:hAnsi="宋体" w:eastAsia="宋体" w:cs="宋体"/>
          <w:b/>
          <w:color w:val="auto"/>
          <w:sz w:val="24"/>
          <w:szCs w:val="24"/>
          <w:highlight w:val="none"/>
        </w:rPr>
        <w:t>采购方式</w:t>
      </w:r>
      <w:r>
        <w:rPr>
          <w:rFonts w:hint="eastAsia" w:ascii="宋体" w:hAnsi="宋体" w:eastAsia="宋体" w:cs="宋体"/>
          <w:color w:val="auto"/>
          <w:sz w:val="24"/>
          <w:szCs w:val="24"/>
          <w:highlight w:val="none"/>
        </w:rPr>
        <w:t>：竞争性磋商采购</w:t>
      </w:r>
    </w:p>
    <w:p>
      <w:pPr>
        <w:widowControl/>
        <w:numPr>
          <w:ilvl w:val="0"/>
          <w:numId w:val="0"/>
        </w:numPr>
        <w:spacing w:after="75"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lang w:val="en-US" w:eastAsia="zh-CN"/>
        </w:rPr>
        <w:t>三、</w:t>
      </w:r>
      <w:r>
        <w:rPr>
          <w:rFonts w:hint="eastAsia" w:ascii="宋体" w:hAnsi="宋体" w:eastAsia="宋体" w:cs="宋体"/>
          <w:b/>
          <w:color w:val="auto"/>
          <w:kern w:val="0"/>
          <w:sz w:val="24"/>
          <w:szCs w:val="24"/>
          <w:highlight w:val="none"/>
        </w:rPr>
        <w:t>项目预算</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万元</w:t>
      </w:r>
    </w:p>
    <w:p>
      <w:pPr>
        <w:pStyle w:val="22"/>
        <w:numPr>
          <w:ilvl w:val="0"/>
          <w:numId w:val="0"/>
        </w:numPr>
        <w:spacing w:line="360" w:lineRule="auto"/>
        <w:ind w:firstLine="482"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color w:val="auto"/>
          <w:sz w:val="24"/>
          <w:szCs w:val="24"/>
          <w:highlight w:val="none"/>
        </w:rPr>
        <w:t>采购项目背景及基本概况介绍</w:t>
      </w:r>
      <w:r>
        <w:rPr>
          <w:rFonts w:hint="eastAsia" w:ascii="宋体" w:hAnsi="宋体" w:eastAsia="宋体" w:cs="宋体"/>
          <w:color w:val="auto"/>
          <w:sz w:val="24"/>
          <w:szCs w:val="24"/>
          <w:highlight w:val="none"/>
        </w:rPr>
        <w:t>：为了确保我单位网络信息系统安全，根据上级网络信息系统安全要求，拟在今年12月底前后开展对本单位南通网网站系统、南通报业传媒集团采编系统进行安全等级保护测评。</w:t>
      </w:r>
    </w:p>
    <w:p>
      <w:pPr>
        <w:widowControl/>
        <w:spacing w:after="75" w:line="360" w:lineRule="auto"/>
        <w:ind w:firstLine="480"/>
        <w:jc w:val="left"/>
        <w:rPr>
          <w:rFonts w:hint="eastAsia" w:ascii="宋体" w:hAnsi="宋体" w:eastAsia="宋体" w:cs="宋体"/>
          <w:b/>
          <w:color w:val="auto"/>
          <w:kern w:val="0"/>
          <w:sz w:val="24"/>
          <w:szCs w:val="24"/>
          <w:highlight w:val="none"/>
          <w:lang w:eastAsia="zh-CN"/>
        </w:rPr>
      </w:pPr>
      <w:r>
        <w:rPr>
          <w:rFonts w:hint="eastAsia" w:ascii="宋体" w:hAnsi="宋体" w:eastAsia="宋体" w:cs="宋体"/>
          <w:b/>
          <w:color w:val="auto"/>
          <w:kern w:val="0"/>
          <w:sz w:val="24"/>
          <w:szCs w:val="24"/>
          <w:highlight w:val="none"/>
          <w:lang w:val="en-US" w:eastAsia="zh-CN"/>
        </w:rPr>
        <w:t>五</w:t>
      </w:r>
      <w:r>
        <w:rPr>
          <w:rFonts w:hint="eastAsia" w:ascii="宋体" w:hAnsi="宋体" w:eastAsia="宋体" w:cs="宋体"/>
          <w:b/>
          <w:color w:val="auto"/>
          <w:kern w:val="0"/>
          <w:sz w:val="24"/>
          <w:szCs w:val="24"/>
          <w:highlight w:val="none"/>
        </w:rPr>
        <w:t>、</w:t>
      </w:r>
      <w:r>
        <w:rPr>
          <w:rFonts w:hint="eastAsia" w:ascii="宋体" w:hAnsi="宋体" w:eastAsia="宋体" w:cs="宋体"/>
          <w:b/>
          <w:color w:val="auto"/>
          <w:kern w:val="0"/>
          <w:sz w:val="24"/>
          <w:szCs w:val="24"/>
          <w:highlight w:val="none"/>
          <w:lang w:val="en-US" w:eastAsia="zh-CN"/>
        </w:rPr>
        <w:t>磋商响应</w:t>
      </w:r>
      <w:r>
        <w:rPr>
          <w:rFonts w:hint="eastAsia" w:ascii="宋体" w:hAnsi="宋体" w:eastAsia="宋体" w:cs="宋体"/>
          <w:b/>
          <w:color w:val="auto"/>
          <w:kern w:val="0"/>
          <w:sz w:val="24"/>
          <w:szCs w:val="24"/>
          <w:highlight w:val="none"/>
        </w:rPr>
        <w:t>供应商资格要求</w:t>
      </w:r>
      <w:r>
        <w:rPr>
          <w:rFonts w:hint="eastAsia" w:ascii="宋体" w:hAnsi="宋体" w:eastAsia="宋体" w:cs="宋体"/>
          <w:b/>
          <w:color w:val="auto"/>
          <w:kern w:val="0"/>
          <w:sz w:val="24"/>
          <w:szCs w:val="24"/>
          <w:highlight w:val="none"/>
          <w:lang w:eastAsia="zh-CN"/>
        </w:rPr>
        <w:t>：</w:t>
      </w:r>
    </w:p>
    <w:p>
      <w:pPr>
        <w:widowControl/>
        <w:spacing w:after="75"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1、法人或者其他组织的营业执照等证明文件；</w:t>
      </w:r>
    </w:p>
    <w:p>
      <w:pPr>
        <w:widowControl/>
        <w:spacing w:after="75"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2、上一年度的财务报告（成立不满一年不需提供）；</w:t>
      </w:r>
    </w:p>
    <w:p>
      <w:pPr>
        <w:widowControl/>
        <w:spacing w:after="75"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3、依法缴纳税收和社会保障资金的相关证明材料；</w:t>
      </w:r>
    </w:p>
    <w:p>
      <w:pPr>
        <w:widowControl/>
        <w:spacing w:after="75"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4、具备履行合同所必需的设备和专业技术能力的证明材料；</w:t>
      </w:r>
    </w:p>
    <w:p>
      <w:pPr>
        <w:widowControl/>
        <w:spacing w:after="75"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5、参加政府采购活动前3年内在经营活动中没有重大违法记录的书面声明；</w:t>
      </w:r>
    </w:p>
    <w:p>
      <w:pPr>
        <w:snapToGrid w:val="0"/>
        <w:spacing w:line="360" w:lineRule="auto"/>
        <w:ind w:firstLine="480" w:firstLineChars="200"/>
        <w:contextualSpacing/>
        <w:rPr>
          <w:rFonts w:hint="eastAsia" w:ascii="宋体" w:hAnsi="宋体" w:eastAsia="宋体" w:cs="宋体"/>
          <w:b/>
          <w:color w:val="auto"/>
          <w:kern w:val="0"/>
          <w:sz w:val="24"/>
          <w:szCs w:val="24"/>
          <w:highlight w:val="none"/>
        </w:rPr>
      </w:pPr>
      <w:r>
        <w:rPr>
          <w:rFonts w:hint="eastAsia" w:ascii="宋体" w:hAnsi="宋体" w:eastAsia="宋体" w:cs="宋体"/>
          <w:b w:val="0"/>
          <w:bCs w:val="0"/>
          <w:color w:val="auto"/>
          <w:kern w:val="0"/>
          <w:sz w:val="24"/>
          <w:szCs w:val="24"/>
          <w:highlight w:val="none"/>
          <w:lang w:val="en-US" w:eastAsia="zh-CN"/>
        </w:rPr>
        <w:t>6、</w:t>
      </w:r>
      <w:r>
        <w:rPr>
          <w:rFonts w:hint="eastAsia" w:ascii="宋体" w:hAnsi="宋体" w:eastAsia="宋体" w:cs="宋体"/>
          <w:b w:val="0"/>
          <w:bCs w:val="0"/>
          <w:color w:val="auto"/>
          <w:kern w:val="0"/>
          <w:sz w:val="24"/>
          <w:szCs w:val="24"/>
          <w:highlight w:val="none"/>
        </w:rPr>
        <w:t>潜在供应商需具有有效期内的《网络安全等级保护测评机构推荐证书》</w:t>
      </w: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spacing w:val="7"/>
          <w:kern w:val="0"/>
          <w:sz w:val="24"/>
          <w:szCs w:val="24"/>
          <w:highlight w:val="none"/>
        </w:rPr>
        <w:t xml:space="preserve">投标时提供证书复印件（加盖公章）； </w:t>
      </w:r>
    </w:p>
    <w:p>
      <w:pPr>
        <w:widowControl/>
        <w:spacing w:after="75" w:line="360" w:lineRule="auto"/>
        <w:ind w:firstLine="480"/>
        <w:jc w:val="left"/>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六</w:t>
      </w:r>
      <w:r>
        <w:rPr>
          <w:rFonts w:hint="eastAsia" w:ascii="宋体" w:hAnsi="宋体" w:eastAsia="宋体" w:cs="宋体"/>
          <w:b/>
          <w:bCs/>
          <w:color w:val="auto"/>
          <w:kern w:val="0"/>
          <w:sz w:val="24"/>
          <w:szCs w:val="24"/>
          <w:highlight w:val="none"/>
        </w:rPr>
        <w:t>、</w:t>
      </w:r>
      <w:r>
        <w:rPr>
          <w:rFonts w:hint="eastAsia" w:ascii="宋体" w:hAnsi="宋体" w:eastAsia="宋体" w:cs="宋体"/>
          <w:b/>
          <w:color w:val="auto"/>
          <w:kern w:val="0"/>
          <w:sz w:val="24"/>
          <w:szCs w:val="24"/>
          <w:highlight w:val="none"/>
        </w:rPr>
        <w:t>采购</w:t>
      </w:r>
      <w:r>
        <w:rPr>
          <w:rFonts w:hint="eastAsia" w:ascii="宋体" w:hAnsi="宋体" w:eastAsia="宋体" w:cs="宋体"/>
          <w:b/>
          <w:color w:val="auto"/>
          <w:kern w:val="0"/>
          <w:sz w:val="24"/>
          <w:szCs w:val="24"/>
          <w:highlight w:val="none"/>
          <w:lang w:val="en-US" w:eastAsia="zh-CN"/>
        </w:rPr>
        <w:t>项目需求：</w:t>
      </w:r>
    </w:p>
    <w:p>
      <w:pPr>
        <w:widowControl/>
        <w:spacing w:after="75"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具体需求详见本项目竞争性磋商文件。</w:t>
      </w:r>
    </w:p>
    <w:p>
      <w:pPr>
        <w:widowControl/>
        <w:spacing w:after="75" w:line="360" w:lineRule="auto"/>
        <w:ind w:firstLine="480"/>
        <w:jc w:val="left"/>
        <w:rPr>
          <w:rFonts w:hint="eastAsia" w:ascii="宋体" w:hAnsi="宋体" w:eastAsia="宋体" w:cs="宋体"/>
          <w:color w:val="auto"/>
          <w:kern w:val="0"/>
          <w:sz w:val="24"/>
          <w:szCs w:val="24"/>
          <w:highlight w:val="none"/>
          <w:lang w:val="zh-CN"/>
        </w:rPr>
      </w:pPr>
      <w:r>
        <w:rPr>
          <w:rFonts w:hint="eastAsia" w:ascii="宋体" w:hAnsi="宋体" w:eastAsia="宋体" w:cs="宋体"/>
          <w:b/>
          <w:color w:val="auto"/>
          <w:kern w:val="0"/>
          <w:sz w:val="24"/>
          <w:szCs w:val="24"/>
          <w:highlight w:val="none"/>
          <w:lang w:val="en-US" w:eastAsia="zh-CN"/>
        </w:rPr>
        <w:t>七</w:t>
      </w:r>
      <w:r>
        <w:rPr>
          <w:rFonts w:hint="eastAsia" w:ascii="宋体" w:hAnsi="宋体" w:eastAsia="宋体" w:cs="宋体"/>
          <w:b/>
          <w:color w:val="auto"/>
          <w:kern w:val="0"/>
          <w:sz w:val="24"/>
          <w:szCs w:val="24"/>
          <w:highlight w:val="none"/>
        </w:rPr>
        <w:t>、</w:t>
      </w:r>
      <w:r>
        <w:rPr>
          <w:rFonts w:hint="eastAsia" w:ascii="宋体" w:hAnsi="宋体" w:eastAsia="宋体" w:cs="宋体"/>
          <w:b/>
          <w:color w:val="auto"/>
          <w:kern w:val="0"/>
          <w:sz w:val="24"/>
          <w:szCs w:val="24"/>
          <w:highlight w:val="none"/>
          <w:lang w:val="zh-CN"/>
        </w:rPr>
        <w:t>获取磋商文件的</w:t>
      </w:r>
      <w:r>
        <w:rPr>
          <w:rFonts w:hint="eastAsia" w:ascii="宋体" w:hAnsi="宋体" w:eastAsia="宋体" w:cs="宋体"/>
          <w:b/>
          <w:color w:val="auto"/>
          <w:kern w:val="0"/>
          <w:sz w:val="24"/>
          <w:szCs w:val="24"/>
          <w:highlight w:val="none"/>
        </w:rPr>
        <w:t>获取</w:t>
      </w:r>
      <w:r>
        <w:rPr>
          <w:rFonts w:hint="eastAsia" w:ascii="宋体" w:hAnsi="宋体" w:eastAsia="宋体" w:cs="宋体"/>
          <w:b/>
          <w:color w:val="auto"/>
          <w:kern w:val="0"/>
          <w:sz w:val="24"/>
          <w:szCs w:val="24"/>
          <w:highlight w:val="none"/>
          <w:lang w:val="zh-CN"/>
        </w:rPr>
        <w:t>时间、</w:t>
      </w:r>
      <w:r>
        <w:rPr>
          <w:rFonts w:hint="eastAsia" w:ascii="宋体" w:hAnsi="宋体" w:eastAsia="宋体" w:cs="宋体"/>
          <w:b/>
          <w:color w:val="auto"/>
          <w:kern w:val="0"/>
          <w:sz w:val="24"/>
          <w:szCs w:val="24"/>
          <w:highlight w:val="none"/>
        </w:rPr>
        <w:t>方式及费用</w:t>
      </w:r>
      <w:r>
        <w:rPr>
          <w:rFonts w:hint="eastAsia" w:ascii="宋体" w:hAnsi="宋体" w:eastAsia="宋体" w:cs="宋体"/>
          <w:color w:val="auto"/>
          <w:kern w:val="0"/>
          <w:sz w:val="24"/>
          <w:szCs w:val="24"/>
          <w:highlight w:val="none"/>
          <w:lang w:val="zh-CN"/>
        </w:rPr>
        <w:t>：</w:t>
      </w:r>
    </w:p>
    <w:p>
      <w:pPr>
        <w:widowControl/>
        <w:spacing w:after="75" w:line="360" w:lineRule="auto"/>
        <w:ind w:firstLine="480"/>
        <w:jc w:val="left"/>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2</w:t>
      </w:r>
      <w:r>
        <w:rPr>
          <w:rFonts w:hint="eastAsia" w:ascii="宋体" w:hAnsi="宋体" w:cs="宋体"/>
          <w:color w:val="auto"/>
          <w:kern w:val="0"/>
          <w:sz w:val="24"/>
          <w:szCs w:val="24"/>
          <w:highlight w:val="none"/>
          <w:lang w:val="en-US" w:eastAsia="zh-CN"/>
        </w:rPr>
        <w:t>021</w:t>
      </w:r>
      <w:r>
        <w:rPr>
          <w:rFonts w:hint="eastAsia" w:ascii="宋体" w:hAnsi="宋体" w:eastAsia="宋体" w:cs="宋体"/>
          <w:color w:val="auto"/>
          <w:kern w:val="0"/>
          <w:sz w:val="24"/>
          <w:szCs w:val="24"/>
          <w:highlight w:val="none"/>
          <w:lang w:val="zh-CN"/>
        </w:rPr>
        <w:t>年12月</w:t>
      </w:r>
      <w:r>
        <w:rPr>
          <w:rFonts w:hint="eastAsia" w:ascii="宋体" w:hAnsi="宋体" w:cs="宋体"/>
          <w:color w:val="auto"/>
          <w:kern w:val="0"/>
          <w:sz w:val="24"/>
          <w:szCs w:val="24"/>
          <w:highlight w:val="none"/>
          <w:lang w:val="en-US" w:eastAsia="zh-CN"/>
        </w:rPr>
        <w:t>18</w:t>
      </w:r>
      <w:r>
        <w:rPr>
          <w:rFonts w:hint="eastAsia" w:ascii="宋体" w:hAnsi="宋体" w:eastAsia="宋体" w:cs="宋体"/>
          <w:color w:val="auto"/>
          <w:kern w:val="0"/>
          <w:sz w:val="24"/>
          <w:szCs w:val="24"/>
          <w:highlight w:val="none"/>
          <w:lang w:val="zh-CN"/>
        </w:rPr>
        <w:t>日起至202</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val="zh-CN"/>
        </w:rPr>
        <w:t>年12月</w:t>
      </w:r>
      <w:r>
        <w:rPr>
          <w:rFonts w:hint="eastAsia" w:ascii="宋体" w:hAnsi="宋体" w:cs="宋体"/>
          <w:color w:val="auto"/>
          <w:kern w:val="0"/>
          <w:sz w:val="24"/>
          <w:szCs w:val="24"/>
          <w:highlight w:val="none"/>
          <w:lang w:val="en-US" w:eastAsia="zh-CN"/>
        </w:rPr>
        <w:t>22</w:t>
      </w:r>
      <w:r>
        <w:rPr>
          <w:rFonts w:hint="eastAsia" w:ascii="宋体" w:hAnsi="宋体" w:eastAsia="宋体" w:cs="宋体"/>
          <w:color w:val="auto"/>
          <w:kern w:val="0"/>
          <w:sz w:val="24"/>
          <w:szCs w:val="24"/>
          <w:highlight w:val="none"/>
          <w:lang w:val="zh-CN"/>
        </w:rPr>
        <w:t>日 17：00时（备注：本公告发布日期202</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val="zh-CN"/>
        </w:rPr>
        <w:t>年12月</w:t>
      </w:r>
      <w:r>
        <w:rPr>
          <w:rFonts w:hint="eastAsia" w:ascii="宋体" w:hAnsi="宋体" w:cs="宋体"/>
          <w:color w:val="auto"/>
          <w:kern w:val="0"/>
          <w:sz w:val="24"/>
          <w:szCs w:val="24"/>
          <w:highlight w:val="none"/>
          <w:lang w:val="en-US" w:eastAsia="zh-CN"/>
        </w:rPr>
        <w:t>15</w:t>
      </w:r>
      <w:r>
        <w:rPr>
          <w:rFonts w:hint="eastAsia" w:ascii="宋体" w:hAnsi="宋体" w:eastAsia="宋体" w:cs="宋体"/>
          <w:color w:val="auto"/>
          <w:kern w:val="0"/>
          <w:sz w:val="24"/>
          <w:szCs w:val="24"/>
          <w:highlight w:val="none"/>
          <w:lang w:val="zh-CN"/>
        </w:rPr>
        <w:t>日至12月</w:t>
      </w:r>
      <w:r>
        <w:rPr>
          <w:rFonts w:hint="eastAsia" w:ascii="宋体" w:hAnsi="宋体" w:cs="宋体"/>
          <w:color w:val="auto"/>
          <w:kern w:val="0"/>
          <w:sz w:val="24"/>
          <w:szCs w:val="24"/>
          <w:highlight w:val="none"/>
          <w:lang w:val="en-US" w:eastAsia="zh-CN"/>
        </w:rPr>
        <w:t>27</w:t>
      </w:r>
      <w:r>
        <w:rPr>
          <w:rFonts w:hint="eastAsia" w:ascii="宋体" w:hAnsi="宋体" w:eastAsia="宋体" w:cs="宋体"/>
          <w:color w:val="auto"/>
          <w:kern w:val="0"/>
          <w:sz w:val="24"/>
          <w:szCs w:val="24"/>
          <w:highlight w:val="none"/>
          <w:lang w:val="zh-CN"/>
        </w:rPr>
        <w:t>日，详见《南通网》http://www.zgnt.net/</w:t>
      </w:r>
      <w:r>
        <w:rPr>
          <w:rFonts w:hint="eastAsia" w:ascii="宋体" w:hAnsi="宋体" w:eastAsia="宋体" w:cs="宋体"/>
          <w:color w:val="auto"/>
          <w:kern w:val="0"/>
          <w:sz w:val="24"/>
          <w:szCs w:val="24"/>
          <w:highlight w:val="none"/>
        </w:rPr>
        <w:t>如对本项目招标文件有异议的，请于投标截止日前两日将书面意见反馈给采购单位。</w:t>
      </w:r>
      <w:r>
        <w:rPr>
          <w:rFonts w:hint="eastAsia" w:ascii="宋体" w:hAnsi="宋体" w:eastAsia="宋体" w:cs="宋体"/>
          <w:color w:val="auto"/>
          <w:kern w:val="0"/>
          <w:sz w:val="24"/>
          <w:szCs w:val="24"/>
          <w:highlight w:val="none"/>
          <w:lang w:val="zh-CN"/>
        </w:rPr>
        <w:t>），联系人：李旋 电话：0513-68218829。邮箱：190896297@qq.com 。建议采用电子邮箱、</w:t>
      </w:r>
      <w:r>
        <w:rPr>
          <w:rFonts w:hint="eastAsia" w:ascii="宋体" w:hAnsi="宋体" w:eastAsia="宋体" w:cs="宋体"/>
          <w:color w:val="auto"/>
          <w:kern w:val="0"/>
          <w:sz w:val="24"/>
          <w:szCs w:val="24"/>
          <w:highlight w:val="none"/>
        </w:rPr>
        <w:t>现场报名等</w:t>
      </w:r>
      <w:r>
        <w:rPr>
          <w:rFonts w:hint="eastAsia" w:ascii="宋体" w:hAnsi="宋体" w:eastAsia="宋体" w:cs="宋体"/>
          <w:color w:val="auto"/>
          <w:kern w:val="0"/>
          <w:sz w:val="24"/>
          <w:szCs w:val="24"/>
          <w:highlight w:val="none"/>
          <w:lang w:val="zh-CN"/>
        </w:rPr>
        <w:t>方式报名、获取磋商文件。</w:t>
      </w:r>
    </w:p>
    <w:p>
      <w:pPr>
        <w:spacing w:line="360" w:lineRule="auto"/>
        <w:ind w:firstLine="480" w:firstLineChars="20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磋商文件售价为500元（一律不予退还）。</w:t>
      </w:r>
    </w:p>
    <w:p>
      <w:pPr>
        <w:spacing w:line="360" w:lineRule="auto"/>
        <w:ind w:firstLine="480" w:firstLineChars="20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逾期要求获取的磋商文件，采购人不予受理。</w:t>
      </w:r>
    </w:p>
    <w:p>
      <w:pPr>
        <w:snapToGrid w:val="0"/>
        <w:spacing w:line="360" w:lineRule="auto"/>
        <w:ind w:firstLine="480" w:firstLineChars="200"/>
        <w:rPr>
          <w:rFonts w:hint="default" w:ascii="宋体" w:hAnsi="宋体" w:eastAsia="宋体" w:cs="宋体"/>
          <w:b w:val="0"/>
          <w:bCs w:val="0"/>
          <w:color w:val="auto"/>
          <w:sz w:val="28"/>
          <w:szCs w:val="28"/>
          <w:highlight w:val="none"/>
          <w:lang w:val="en-US" w:eastAsia="zh-CN"/>
        </w:rPr>
      </w:pPr>
      <w:r>
        <w:rPr>
          <w:rFonts w:hint="eastAsia" w:ascii="宋体" w:hAnsi="宋体" w:eastAsia="宋体" w:cs="宋体"/>
          <w:color w:val="auto"/>
          <w:kern w:val="0"/>
          <w:sz w:val="24"/>
          <w:szCs w:val="24"/>
          <w:highlight w:val="none"/>
          <w:lang w:val="zh-CN"/>
        </w:rPr>
        <w:t>有效获取磋商文件的供应商不足二家时，</w:t>
      </w:r>
      <w:r>
        <w:rPr>
          <w:rFonts w:hint="eastAsia" w:ascii="宋体" w:hAnsi="宋体" w:cs="宋体"/>
          <w:color w:val="auto"/>
          <w:kern w:val="0"/>
          <w:sz w:val="24"/>
          <w:szCs w:val="24"/>
          <w:highlight w:val="none"/>
          <w:lang w:val="en-US" w:eastAsia="zh-CN"/>
        </w:rPr>
        <w:t>采购人终止竞争性磋商采购活动，发布项目终止公告并说明原因，重新开展采购活动。</w:t>
      </w:r>
    </w:p>
    <w:p>
      <w:pPr>
        <w:widowControl/>
        <w:adjustRightInd w:val="0"/>
        <w:spacing w:line="360" w:lineRule="auto"/>
        <w:ind w:firstLine="482" w:firstLineChars="200"/>
        <w:jc w:val="left"/>
        <w:rPr>
          <w:rFonts w:hint="eastAsia" w:ascii="宋体" w:hAnsi="宋体" w:eastAsia="宋体" w:cs="宋体"/>
          <w:color w:val="auto"/>
          <w:kern w:val="0"/>
          <w:sz w:val="24"/>
          <w:szCs w:val="24"/>
          <w:highlight w:val="none"/>
          <w:lang w:val="zh-CN"/>
        </w:rPr>
      </w:pPr>
      <w:r>
        <w:rPr>
          <w:rFonts w:hint="eastAsia" w:ascii="宋体" w:hAnsi="宋体" w:eastAsia="宋体" w:cs="宋体"/>
          <w:b/>
          <w:bCs/>
          <w:color w:val="auto"/>
          <w:sz w:val="24"/>
          <w:szCs w:val="24"/>
          <w:highlight w:val="none"/>
          <w:lang w:val="en-US" w:eastAsia="zh-CN"/>
        </w:rPr>
        <w:t>八、</w:t>
      </w:r>
      <w:r>
        <w:rPr>
          <w:rFonts w:hint="eastAsia" w:ascii="宋体" w:hAnsi="宋体" w:eastAsia="宋体" w:cs="宋体"/>
          <w:b/>
          <w:color w:val="auto"/>
          <w:kern w:val="0"/>
          <w:sz w:val="24"/>
          <w:szCs w:val="24"/>
          <w:highlight w:val="none"/>
          <w:lang w:val="zh-CN"/>
        </w:rPr>
        <w:t>响应文件提交的截止时间、开启时间及地点：</w:t>
      </w:r>
    </w:p>
    <w:p>
      <w:pPr>
        <w:pStyle w:val="35"/>
        <w:shd w:val="clear" w:color="auto" w:fill="FFFFFF"/>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截止时间、开启时间及提交磋商文件地点：202</w:t>
      </w:r>
      <w:r>
        <w:rPr>
          <w:rFonts w:hint="eastAsia"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val="zh-CN"/>
        </w:rPr>
        <w:t>年12月</w:t>
      </w:r>
      <w:r>
        <w:rPr>
          <w:rFonts w:hint="eastAsia" w:cs="宋体"/>
          <w:color w:val="auto"/>
          <w:kern w:val="0"/>
          <w:sz w:val="24"/>
          <w:szCs w:val="24"/>
          <w:highlight w:val="none"/>
          <w:lang w:val="en-US" w:eastAsia="zh-CN"/>
        </w:rPr>
        <w:t>27</w:t>
      </w:r>
      <w:r>
        <w:rPr>
          <w:rFonts w:hint="eastAsia" w:ascii="宋体" w:hAnsi="宋体" w:eastAsia="宋体" w:cs="宋体"/>
          <w:color w:val="auto"/>
          <w:kern w:val="0"/>
          <w:sz w:val="24"/>
          <w:szCs w:val="24"/>
          <w:highlight w:val="none"/>
          <w:lang w:val="zh-CN"/>
        </w:rPr>
        <w:t>日下午2时30分前。</w:t>
      </w:r>
      <w:r>
        <w:rPr>
          <w:rFonts w:hint="eastAsia" w:ascii="宋体" w:hAnsi="宋体" w:eastAsia="宋体" w:cs="宋体"/>
          <w:color w:val="auto"/>
          <w:sz w:val="24"/>
          <w:szCs w:val="24"/>
          <w:highlight w:val="none"/>
        </w:rPr>
        <w:t>地点：南通市崇川区世纪大道8号南通报业新闻传媒中心大厦</w:t>
      </w:r>
      <w:r>
        <w:rPr>
          <w:rFonts w:hint="eastAsia" w:ascii="宋体" w:hAnsi="宋体" w:eastAsia="宋体" w:cs="宋体"/>
          <w:color w:val="auto"/>
          <w:sz w:val="24"/>
          <w:szCs w:val="24"/>
          <w:highlight w:val="none"/>
          <w:lang w:val="en-US" w:eastAsia="zh-CN"/>
        </w:rPr>
        <w:t>2012</w:t>
      </w:r>
      <w:r>
        <w:rPr>
          <w:rFonts w:hint="eastAsia" w:ascii="宋体" w:hAnsi="宋体" w:eastAsia="宋体" w:cs="宋体"/>
          <w:color w:val="auto"/>
          <w:sz w:val="24"/>
          <w:szCs w:val="24"/>
          <w:highlight w:val="none"/>
        </w:rPr>
        <w:t>会议室。逾时现场将不接受文件。</w:t>
      </w:r>
    </w:p>
    <w:p>
      <w:pPr>
        <w:widowControl/>
        <w:adjustRightInd w:val="0"/>
        <w:spacing w:line="360" w:lineRule="auto"/>
        <w:ind w:firstLine="480" w:firstLineChars="20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rPr>
        <w:t>视南通市“新冠肺炎”疫情防控实际情况，上述时间和地点如有变动，另行通知。</w:t>
      </w:r>
    </w:p>
    <w:p>
      <w:pPr>
        <w:spacing w:line="360" w:lineRule="auto"/>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lang w:val="en-US" w:eastAsia="zh-CN"/>
        </w:rPr>
        <w:t>九、</w:t>
      </w:r>
      <w:r>
        <w:rPr>
          <w:rFonts w:hint="eastAsia" w:ascii="宋体" w:hAnsi="宋体" w:eastAsia="宋体" w:cs="宋体"/>
          <w:b/>
          <w:color w:val="auto"/>
          <w:kern w:val="0"/>
          <w:sz w:val="24"/>
          <w:szCs w:val="24"/>
          <w:highlight w:val="none"/>
        </w:rPr>
        <w:t>磋商保证金：</w:t>
      </w:r>
      <w:r>
        <w:rPr>
          <w:rFonts w:hint="eastAsia" w:ascii="宋体" w:hAnsi="宋体" w:eastAsia="宋体" w:cs="宋体"/>
          <w:color w:val="auto"/>
          <w:kern w:val="0"/>
          <w:sz w:val="24"/>
          <w:szCs w:val="24"/>
          <w:highlight w:val="none"/>
        </w:rPr>
        <w:t xml:space="preserve">本项目不需提供保证金。 </w:t>
      </w:r>
    </w:p>
    <w:p>
      <w:pPr>
        <w:widowControl/>
        <w:spacing w:after="75" w:line="360" w:lineRule="auto"/>
        <w:ind w:firstLine="48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val="en-US" w:eastAsia="zh-CN"/>
        </w:rPr>
        <w:t>十</w:t>
      </w:r>
      <w:r>
        <w:rPr>
          <w:rFonts w:hint="eastAsia" w:ascii="宋体" w:hAnsi="宋体" w:eastAsia="宋体" w:cs="宋体"/>
          <w:b/>
          <w:color w:val="auto"/>
          <w:kern w:val="0"/>
          <w:sz w:val="24"/>
          <w:szCs w:val="24"/>
          <w:highlight w:val="none"/>
        </w:rPr>
        <w:t>、采购方联系人和联系电话</w:t>
      </w:r>
    </w:p>
    <w:p>
      <w:pPr>
        <w:widowControl/>
        <w:spacing w:after="75"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采购单位：南通日报社（南通报业传媒集团）</w:t>
      </w:r>
    </w:p>
    <w:p>
      <w:pPr>
        <w:widowControl/>
        <w:adjustRightIn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地址：江苏省南通市崇川区世纪大道8号2406室  邮编：226018</w:t>
      </w:r>
    </w:p>
    <w:p>
      <w:pPr>
        <w:widowControl/>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联系人：</w:t>
      </w:r>
      <w:r>
        <w:rPr>
          <w:rFonts w:hint="eastAsia" w:ascii="宋体" w:hAnsi="宋体" w:eastAsia="宋体" w:cs="宋体"/>
          <w:color w:val="auto"/>
          <w:kern w:val="0"/>
          <w:sz w:val="24"/>
          <w:szCs w:val="24"/>
          <w:highlight w:val="none"/>
          <w:lang w:val="en-US" w:eastAsia="zh-CN"/>
        </w:rPr>
        <w:t>张庆锋</w:t>
      </w:r>
      <w:r>
        <w:rPr>
          <w:rFonts w:hint="eastAsia" w:ascii="宋体" w:hAnsi="宋体" w:eastAsia="宋体" w:cs="宋体"/>
          <w:color w:val="auto"/>
          <w:kern w:val="0"/>
          <w:sz w:val="24"/>
          <w:szCs w:val="24"/>
          <w:highlight w:val="none"/>
          <w:lang w:val="zh-CN"/>
        </w:rPr>
        <w:t xml:space="preserve"> </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lang w:val="zh-CN"/>
        </w:rPr>
        <w:t>电话：0513-682188</w:t>
      </w:r>
      <w:r>
        <w:rPr>
          <w:rFonts w:hint="eastAsia" w:ascii="宋体" w:hAnsi="宋体" w:eastAsia="宋体" w:cs="宋体"/>
          <w:color w:val="auto"/>
          <w:kern w:val="0"/>
          <w:sz w:val="24"/>
          <w:szCs w:val="24"/>
          <w:highlight w:val="none"/>
          <w:lang w:val="en-US" w:eastAsia="zh-CN"/>
        </w:rPr>
        <w:t xml:space="preserve">29 </w:t>
      </w:r>
      <w:r>
        <w:rPr>
          <w:rFonts w:hint="eastAsia" w:ascii="宋体" w:hAnsi="宋体" w:eastAsia="宋体" w:cs="宋体"/>
          <w:color w:val="auto"/>
          <w:kern w:val="0"/>
          <w:sz w:val="24"/>
          <w:szCs w:val="24"/>
          <w:highlight w:val="none"/>
          <w:lang w:val="zh-CN"/>
        </w:rPr>
        <w:t>传真：0513-85118880</w:t>
      </w:r>
    </w:p>
    <w:p>
      <w:pPr>
        <w:widowControl/>
        <w:spacing w:after="75" w:line="360" w:lineRule="auto"/>
        <w:ind w:firstLine="48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南通日报社（南通报业传媒集团）</w:t>
      </w:r>
    </w:p>
    <w:p>
      <w:pPr>
        <w:widowControl/>
        <w:spacing w:after="75" w:line="360" w:lineRule="auto"/>
        <w:ind w:firstLine="48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2021年</w:t>
      </w:r>
      <w:r>
        <w:rPr>
          <w:rFonts w:hint="eastAsia" w:ascii="宋体" w:hAnsi="宋体" w:cs="宋体"/>
          <w:color w:val="auto"/>
          <w:kern w:val="0"/>
          <w:sz w:val="24"/>
          <w:szCs w:val="24"/>
          <w:highlight w:val="none"/>
          <w:lang w:val="en-US" w:eastAsia="zh-CN"/>
        </w:rPr>
        <w:t>12</w:t>
      </w:r>
      <w:r>
        <w:rPr>
          <w:rFonts w:hint="eastAsia" w:ascii="宋体" w:hAnsi="宋体" w:eastAsia="宋体" w:cs="宋体"/>
          <w:color w:val="auto"/>
          <w:kern w:val="0"/>
          <w:sz w:val="24"/>
          <w:szCs w:val="24"/>
          <w:highlight w:val="none"/>
        </w:rPr>
        <w:t>月</w:t>
      </w:r>
      <w:r>
        <w:rPr>
          <w:rFonts w:hint="eastAsia" w:ascii="宋体" w:hAnsi="宋体" w:cs="宋体"/>
          <w:color w:val="auto"/>
          <w:kern w:val="0"/>
          <w:sz w:val="24"/>
          <w:szCs w:val="24"/>
          <w:highlight w:val="none"/>
          <w:lang w:val="en-US" w:eastAsia="zh-CN"/>
        </w:rPr>
        <w:t>14</w:t>
      </w:r>
      <w:r>
        <w:rPr>
          <w:rFonts w:hint="eastAsia" w:ascii="宋体" w:hAnsi="宋体" w:eastAsia="宋体" w:cs="宋体"/>
          <w:color w:val="auto"/>
          <w:kern w:val="0"/>
          <w:sz w:val="24"/>
          <w:szCs w:val="24"/>
          <w:highlight w:val="none"/>
        </w:rPr>
        <w:t>日</w:t>
      </w:r>
    </w:p>
    <w:p>
      <w:pPr>
        <w:widowControl/>
        <w:jc w:val="left"/>
        <w:rPr>
          <w:rFonts w:hint="eastAsia" w:ascii="宋体" w:hAnsi="宋体" w:eastAsia="宋体" w:cs="宋体"/>
          <w:color w:val="auto"/>
          <w:sz w:val="24"/>
          <w:szCs w:val="24"/>
          <w:highlight w:val="none"/>
        </w:rPr>
      </w:pPr>
    </w:p>
    <w:p>
      <w:pPr>
        <w:pStyle w:val="2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5"/>
        <w:pageBreakBefore w:val="0"/>
        <w:kinsoku/>
        <w:wordWrap/>
        <w:overflowPunct/>
        <w:topLinePunct w:val="0"/>
        <w:bidi w:val="0"/>
        <w:spacing w:line="420" w:lineRule="exact"/>
        <w:ind w:firstLine="2249" w:firstLineChars="700"/>
        <w:jc w:val="both"/>
        <w:textAlignment w:val="auto"/>
        <w:rPr>
          <w:rFonts w:hint="eastAsia" w:ascii="宋体" w:hAnsi="宋体" w:eastAsia="宋体" w:cs="宋体"/>
          <w:color w:val="auto"/>
          <w:sz w:val="32"/>
          <w:szCs w:val="32"/>
          <w:highlight w:val="none"/>
        </w:rPr>
      </w:pPr>
      <w:bookmarkStart w:id="2" w:name="_Toc42779652"/>
      <w:r>
        <w:rPr>
          <w:rFonts w:hint="eastAsia" w:ascii="宋体" w:hAnsi="宋体" w:eastAsia="宋体" w:cs="宋体"/>
          <w:color w:val="auto"/>
          <w:sz w:val="32"/>
          <w:szCs w:val="32"/>
          <w:highlight w:val="none"/>
          <w:lang w:val="en-US" w:eastAsia="zh-CN"/>
        </w:rPr>
        <w:t xml:space="preserve">第二部分   </w:t>
      </w:r>
      <w:bookmarkEnd w:id="2"/>
      <w:r>
        <w:rPr>
          <w:rFonts w:hint="eastAsia" w:ascii="宋体" w:hAnsi="宋体" w:eastAsia="宋体" w:cs="宋体"/>
          <w:color w:val="auto"/>
          <w:sz w:val="32"/>
          <w:szCs w:val="32"/>
          <w:highlight w:val="none"/>
        </w:rPr>
        <w:t>供应商磋商须知</w:t>
      </w:r>
    </w:p>
    <w:p>
      <w:pPr>
        <w:keepNext w:val="0"/>
        <w:keepLines w:val="0"/>
        <w:pageBreakBefore w:val="0"/>
        <w:kinsoku/>
        <w:wordWrap/>
        <w:overflowPunct/>
        <w:topLinePunct w:val="0"/>
        <w:bidi w:val="0"/>
        <w:spacing w:line="500" w:lineRule="exact"/>
        <w:textAlignment w:val="auto"/>
        <w:rPr>
          <w:rFonts w:hint="eastAsia" w:ascii="宋体" w:hAnsi="宋体" w:eastAsia="宋体" w:cs="宋体"/>
          <w:b/>
          <w:color w:val="auto"/>
          <w:sz w:val="24"/>
          <w:szCs w:val="24"/>
          <w:highlight w:val="none"/>
        </w:rPr>
      </w:pPr>
      <w:bookmarkStart w:id="3" w:name="_Toc42779653"/>
      <w:r>
        <w:rPr>
          <w:rFonts w:hint="eastAsia" w:ascii="宋体" w:hAnsi="宋体" w:eastAsia="宋体" w:cs="宋体"/>
          <w:b/>
          <w:color w:val="auto"/>
          <w:sz w:val="24"/>
          <w:szCs w:val="24"/>
          <w:highlight w:val="none"/>
        </w:rPr>
        <w:t>一、对供应商投标磋商响应文件编制要求</w:t>
      </w:r>
    </w:p>
    <w:p>
      <w:pPr>
        <w:keepNext w:val="0"/>
        <w:keepLines w:val="0"/>
        <w:pageBreakBefore w:val="0"/>
        <w:kinsoku/>
        <w:wordWrap/>
        <w:overflowPunct/>
        <w:topLinePunct w:val="0"/>
        <w:bidi w:val="0"/>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应仔细阅读本竞争性磋商采购文件，认真审阅文件中所有的事项、格式、条款和规范要求等，按照磋商文件的要求编制响应文件，并在响应文件中对磋商文件的实质性要求和条件做出响应。如果没有按照磋商文件要求提交响应文件，或者响应文件没有对磋商文件做出实质性响应，将被拒绝参与磋商，供应商自行承担责任。</w:t>
      </w:r>
    </w:p>
    <w:p>
      <w:pPr>
        <w:keepNext w:val="0"/>
        <w:keepLines w:val="0"/>
        <w:pageBreakBefore w:val="0"/>
        <w:tabs>
          <w:tab w:val="left" w:pos="525"/>
        </w:tabs>
        <w:kinsoku/>
        <w:wordWrap/>
        <w:overflowPunct/>
        <w:topLinePunct w:val="0"/>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2.供应商应按照竞争性磋商采购文件中货物或者服务需求一览表和技术规格有关内容分别填写磋商响应报价表、技术规格响应表，并书面承诺所能提供的详细服务。    </w:t>
      </w:r>
    </w:p>
    <w:p>
      <w:pPr>
        <w:keepNext w:val="0"/>
        <w:keepLines w:val="0"/>
        <w:pageBreakBefore w:val="0"/>
        <w:tabs>
          <w:tab w:val="left" w:pos="525"/>
        </w:tabs>
        <w:kinsoku/>
        <w:wordWrap/>
        <w:overflowPunct/>
        <w:topLinePunct w:val="0"/>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对响应文件表格应逐项填清，并算出单项总价及投标总报价，投标文件报价出现前后不一致的，除招标文件另有规定外，按照下列规定修正：投标文件中开标一览表（报价表）内容与投标文件中相应内容不一致的，以开标一览表（报价表）为准；大写金额和小写金额不一致的，以大写金额为准；单价金额小数点或者百分比有明显错位的，以开标一览表的总价为准，并修改单价；总价金额与按单价汇总金额不一致的，以单价金额计算结果为准。</w:t>
      </w:r>
    </w:p>
    <w:p>
      <w:pPr>
        <w:keepNext w:val="0"/>
        <w:keepLines w:val="0"/>
        <w:pageBreakBefore w:val="0"/>
        <w:tabs>
          <w:tab w:val="left" w:pos="525"/>
        </w:tabs>
        <w:kinsoku/>
        <w:wordWrap/>
        <w:overflowPunct/>
        <w:topLinePunct w:val="0"/>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4.一项货物或者服务只允许一个报价。</w:t>
      </w:r>
    </w:p>
    <w:p>
      <w:pPr>
        <w:keepNext w:val="0"/>
        <w:keepLines w:val="0"/>
        <w:pageBreakBefore w:val="0"/>
        <w:tabs>
          <w:tab w:val="left" w:pos="525"/>
        </w:tabs>
        <w:kinsoku/>
        <w:wordWrap/>
        <w:overflowPunct/>
        <w:topLinePunct w:val="0"/>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5.响应磋商总报价应包括所列货物或者服务的材料、附件、标准配件、包装、运输、保险、安装、调试、专用工具、人工、税费等全部费用。</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6.供应商须准备一式五份响应文件（一份正本、四份副本），每份响应文件须清楚地标明“正本”或“副本”。一旦正本和副本不符，以正本为准。</w:t>
      </w:r>
    </w:p>
    <w:p>
      <w:pPr>
        <w:keepNext w:val="0"/>
        <w:keepLines w:val="0"/>
        <w:pageBreakBefore w:val="0"/>
        <w:tabs>
          <w:tab w:val="left" w:pos="525"/>
        </w:tabs>
        <w:kinsoku/>
        <w:wordWrap/>
        <w:overflowPunct/>
        <w:topLinePunct w:val="0"/>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7.响应文件的正本和所有的副本均须打印并由响应文件人或经正式授权并对供应商有约束力的代表签字。授权代表须以书面形式出具的“授权证书”附在响应文件中。</w:t>
      </w:r>
    </w:p>
    <w:p>
      <w:pPr>
        <w:keepNext w:val="0"/>
        <w:keepLines w:val="0"/>
        <w:pageBreakBefore w:val="0"/>
        <w:tabs>
          <w:tab w:val="left" w:pos="525"/>
        </w:tabs>
        <w:kinsoku/>
        <w:wordWrap/>
        <w:overflowPunct/>
        <w:topLinePunct w:val="0"/>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8.除供应商对错处必要修改外，响应文件中不得行间插字、涂改或增删，如有修改错漏处，必须由供应商或其授权代表签字和盖章。</w:t>
      </w:r>
    </w:p>
    <w:p>
      <w:pPr>
        <w:keepNext w:val="0"/>
        <w:keepLines w:val="0"/>
        <w:pageBreakBefore w:val="0"/>
        <w:tabs>
          <w:tab w:val="left" w:pos="525"/>
        </w:tabs>
        <w:kinsoku/>
        <w:wordWrap/>
        <w:overflowPunct/>
        <w:topLinePunct w:val="0"/>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9.供应商应根据采购人要求在响应文件标袋上项目名称，密封并加盖单位公章后，按照磋商文件中注明的地址于提交响应文件截止日期前送到指定地点。</w:t>
      </w:r>
    </w:p>
    <w:p>
      <w:pPr>
        <w:keepNext w:val="0"/>
        <w:keepLines w:val="0"/>
        <w:pageBreakBefore w:val="0"/>
        <w:tabs>
          <w:tab w:val="left" w:pos="525"/>
        </w:tabs>
        <w:kinsoku/>
        <w:wordWrap/>
        <w:overflowPunct/>
        <w:topLinePunct w:val="0"/>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10.竞争性磋商过程中，采购人磋商小组评审会可要求响应供应商对其磋商响应文件的内容进行解释或者澄清其响应文件，但供应商的澄清、说明或者更正不得超出响应文件的范围或者改变响应文件的实质性内容。</w:t>
      </w:r>
    </w:p>
    <w:p>
      <w:pPr>
        <w:keepNext w:val="0"/>
        <w:keepLines w:val="0"/>
        <w:pageBreakBefore w:val="0"/>
        <w:tabs>
          <w:tab w:val="left" w:pos="525"/>
        </w:tabs>
        <w:kinsoku/>
        <w:wordWrap/>
        <w:overflowPunct/>
        <w:topLinePunct w:val="0"/>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11.竞争性磋商采购的主要评审要素为：以满足采购人实际需求的评审标准因素为原则，所提供的服务等能够最大限度地满足磋商文件全部实质性要求和规定的各项综合评价标准。</w:t>
      </w:r>
    </w:p>
    <w:p>
      <w:pPr>
        <w:keepNext w:val="0"/>
        <w:keepLines w:val="0"/>
        <w:pageBreakBefore w:val="0"/>
        <w:tabs>
          <w:tab w:val="left" w:pos="525"/>
        </w:tabs>
        <w:kinsoku/>
        <w:wordWrap/>
        <w:overflowPunct/>
        <w:topLinePunct w:val="0"/>
        <w:bidi w:val="0"/>
        <w:spacing w:line="500" w:lineRule="exact"/>
        <w:ind w:left="521"/>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13.确定成交供应商后，采购人经行业主管单位指定媒体公告1</w:t>
      </w:r>
    </w:p>
    <w:p>
      <w:pPr>
        <w:keepNext w:val="0"/>
        <w:keepLines w:val="0"/>
        <w:pageBreakBefore w:val="0"/>
        <w:tabs>
          <w:tab w:val="left" w:pos="525"/>
        </w:tabs>
        <w:kinsoku/>
        <w:wordWrap/>
        <w:overflowPunct/>
        <w:topLinePunct w:val="0"/>
        <w:bidi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日，并</w:t>
      </w:r>
      <w:r>
        <w:rPr>
          <w:rFonts w:hint="eastAsia" w:ascii="宋体" w:hAnsi="宋体" w:eastAsia="宋体" w:cs="宋体"/>
          <w:color w:val="auto"/>
          <w:sz w:val="24"/>
          <w:szCs w:val="24"/>
          <w:highlight w:val="none"/>
          <w:shd w:val="clear" w:color="auto" w:fill="FFFFFF"/>
        </w:rPr>
        <w:t>在公告中标成交结果的同时，向中标成交人发出中标成交结果通知书。</w:t>
      </w:r>
    </w:p>
    <w:p>
      <w:pPr>
        <w:keepNext w:val="0"/>
        <w:keepLines w:val="0"/>
        <w:pageBreakBefore w:val="0"/>
        <w:kinsoku/>
        <w:wordWrap/>
        <w:overflowPunct/>
        <w:topLinePunct w:val="0"/>
        <w:bidi w:val="0"/>
        <w:snapToGrid w:val="0"/>
        <w:spacing w:line="500" w:lineRule="exact"/>
        <w:ind w:firstLine="55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14.如对磋商文件需求有异议，或需现场踏勘，请即时与采购人及采购单位联系，否则视同认可，对可能产生的后果自负。</w:t>
      </w:r>
    </w:p>
    <w:p>
      <w:pPr>
        <w:keepNext w:val="0"/>
        <w:keepLines w:val="0"/>
        <w:pageBreakBefore w:val="0"/>
        <w:kinsoku/>
        <w:wordWrap/>
        <w:overflowPunct/>
        <w:topLinePunct w:val="0"/>
        <w:bidi w:val="0"/>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磋商文件如有内容或页码残缺、资格要求和技术参数含有倾向性或排他性等表述的，供应商应在磋商开始前5日内（节假日除外）以书面形式提出询问或疑问，未在规定的5日内提出询问或疑问的，视同供应商理解并接受本磋商采购文件所有内容，并由此引起的磋商响应损失自负。供应商不得在磋商采购结束后针对本磋商采购文件所有内容提出质疑事项。</w:t>
      </w:r>
    </w:p>
    <w:p>
      <w:pPr>
        <w:keepNext w:val="0"/>
        <w:keepLines w:val="0"/>
        <w:pageBreakBefore w:val="0"/>
        <w:kinsoku/>
        <w:wordWrap/>
        <w:overflowPunct/>
        <w:topLinePunct w:val="0"/>
        <w:bidi w:val="0"/>
        <w:snapToGrid w:val="0"/>
        <w:spacing w:line="500" w:lineRule="exact"/>
        <w:ind w:firstLine="55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16.供应商应对其提交的响应文件的真实性、合法性承担法律责任。</w:t>
      </w:r>
    </w:p>
    <w:p>
      <w:pPr>
        <w:keepNext w:val="0"/>
        <w:keepLines w:val="0"/>
        <w:pageBreakBefore w:val="0"/>
        <w:kinsoku/>
        <w:wordWrap/>
        <w:overflowPunct/>
        <w:topLinePunct w:val="0"/>
        <w:bidi w:val="0"/>
        <w:snapToGrid w:val="0"/>
        <w:spacing w:line="500" w:lineRule="exact"/>
        <w:ind w:firstLine="55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17.报名截止时间后，未报名的供应商，不能提出质疑。</w:t>
      </w:r>
    </w:p>
    <w:p>
      <w:pPr>
        <w:keepNext w:val="0"/>
        <w:keepLines w:val="0"/>
        <w:pageBreakBefore w:val="0"/>
        <w:kinsoku/>
        <w:wordWrap/>
        <w:overflowPunct/>
        <w:topLinePunct w:val="0"/>
        <w:bidi w:val="0"/>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18.本须知和竞争性磋商采购文件由采购人负责解释和修改。</w:t>
      </w:r>
    </w:p>
    <w:p>
      <w:pPr>
        <w:keepNext w:val="0"/>
        <w:keepLines w:val="0"/>
        <w:pageBreakBefore w:val="0"/>
        <w:kinsoku/>
        <w:wordWrap/>
        <w:overflowPunct/>
        <w:topLinePunct w:val="0"/>
        <w:bidi w:val="0"/>
        <w:snapToGrid w:val="0"/>
        <w:spacing w:line="500" w:lineRule="exact"/>
        <w:ind w:firstLine="555"/>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19.政府采购将建立供应商诚信体系。供应商在参与投标过程中，对其提交的投标文件的真实性、合法性承担法律责任。</w:t>
      </w:r>
    </w:p>
    <w:p>
      <w:pPr>
        <w:keepNext w:val="0"/>
        <w:keepLines w:val="0"/>
        <w:pageBreakBefore w:val="0"/>
        <w:kinsoku/>
        <w:wordWrap/>
        <w:overflowPunct/>
        <w:topLinePunct w:val="0"/>
        <w:bidi w:val="0"/>
        <w:snapToGrid w:val="0"/>
        <w:spacing w:line="500" w:lineRule="exact"/>
        <w:ind w:firstLine="480" w:firstLineChars="2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20.请各供应商关注</w:t>
      </w:r>
      <w:r>
        <w:rPr>
          <w:rFonts w:hint="eastAsia" w:ascii="宋体" w:hAnsi="宋体" w:eastAsia="宋体" w:cs="宋体"/>
          <w:snapToGrid w:val="0"/>
          <w:color w:val="auto"/>
          <w:sz w:val="24"/>
          <w:szCs w:val="24"/>
          <w:highlight w:val="none"/>
        </w:rPr>
        <w:t>《南通网》http://www.zgnt.net</w:t>
      </w:r>
      <w:r>
        <w:rPr>
          <w:rFonts w:hint="eastAsia" w:ascii="宋体" w:hAnsi="宋体" w:eastAsia="宋体" w:cs="宋体"/>
          <w:color w:val="auto"/>
          <w:sz w:val="24"/>
          <w:szCs w:val="24"/>
          <w:highlight w:val="none"/>
        </w:rPr>
        <w:t>可能发生的相关变化等信息。</w:t>
      </w:r>
    </w:p>
    <w:p>
      <w:pPr>
        <w:keepNext w:val="0"/>
        <w:keepLines w:val="0"/>
        <w:pageBreakBefore w:val="0"/>
        <w:kinsoku/>
        <w:wordWrap/>
        <w:overflowPunct/>
        <w:topLinePunct w:val="0"/>
        <w:bidi w:val="0"/>
        <w:snapToGrid w:val="0"/>
        <w:spacing w:line="500" w:lineRule="exact"/>
        <w:ind w:firstLine="480" w:firstLineChars="2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21.请各供应商认真阅读采购文件，严格遵守约定，如有疑问请及时来人、来函、来电询问。</w:t>
      </w:r>
    </w:p>
    <w:p>
      <w:pPr>
        <w:keepNext w:val="0"/>
        <w:keepLines w:val="0"/>
        <w:pageBreakBefore w:val="0"/>
        <w:kinsoku/>
        <w:wordWrap/>
        <w:overflowPunct/>
        <w:topLinePunct w:val="0"/>
        <w:bidi w:val="0"/>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22.报名截止时间后，未投标响应的供应商，不能提出质疑。</w:t>
      </w:r>
    </w:p>
    <w:p>
      <w:pPr>
        <w:keepNext w:val="0"/>
        <w:keepLines w:val="0"/>
        <w:pageBreakBefore w:val="0"/>
        <w:kinsoku/>
        <w:wordWrap/>
        <w:overflowPunct/>
        <w:topLinePunct w:val="0"/>
        <w:bidi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二、竞争性磋商采购文件的澄清、修改、答疑</w:t>
      </w:r>
    </w:p>
    <w:p>
      <w:pPr>
        <w:pStyle w:val="3"/>
        <w:keepNext w:val="0"/>
        <w:keepLines w:val="0"/>
        <w:pageBreakBefore w:val="0"/>
        <w:kinsoku/>
        <w:wordWrap/>
        <w:overflowPunct/>
        <w:topLinePunct w:val="0"/>
        <w:bidi w:val="0"/>
        <w:snapToGrid w:val="0"/>
        <w:spacing w:line="50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有权对发出的磋商文件进行必要的澄清或修改。澄清或者修改的内容作为磋商文件的组成部分，对供应商具有约束力。澄清或者修改的内容可能影响响应文件编制的，采购人将在提交首次响应文件截止之日至少3日前，以书面形式通知所有接收磋商文件的供应商，不足3日的，应当顺延提交首次响应文件截止。</w:t>
      </w:r>
    </w:p>
    <w:p>
      <w:pPr>
        <w:pStyle w:val="3"/>
        <w:keepNext w:val="0"/>
        <w:keepLines w:val="0"/>
        <w:pageBreakBefore w:val="0"/>
        <w:kinsoku/>
        <w:wordWrap/>
        <w:overflowPunct/>
        <w:topLinePunct w:val="0"/>
        <w:bidi w:val="0"/>
        <w:snapToGrid w:val="0"/>
        <w:spacing w:line="50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2.供应商由于对磋商文件的任何推论和误解以及采购人对有</w:t>
      </w:r>
      <w:r>
        <w:rPr>
          <w:rFonts w:hint="eastAsia" w:ascii="宋体" w:hAnsi="宋体" w:eastAsia="宋体" w:cs="宋体"/>
          <w:color w:val="auto"/>
          <w:sz w:val="24"/>
          <w:szCs w:val="24"/>
          <w:highlight w:val="none"/>
          <w:lang w:val="zh-CN"/>
        </w:rPr>
        <w:t>关问题的口头解释所造成的后果，均由供应商自负。</w:t>
      </w:r>
    </w:p>
    <w:p>
      <w:pPr>
        <w:pStyle w:val="3"/>
        <w:keepNext w:val="0"/>
        <w:keepLines w:val="0"/>
        <w:pageBreakBefore w:val="0"/>
        <w:kinsoku/>
        <w:wordWrap/>
        <w:overflowPunct/>
        <w:topLinePunct w:val="0"/>
        <w:bidi w:val="0"/>
        <w:snapToGrid w:val="0"/>
        <w:spacing w:line="50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3.采购人可视情取消、延长相关时间，不负责解释。</w:t>
      </w:r>
    </w:p>
    <w:p>
      <w:pPr>
        <w:pStyle w:val="3"/>
        <w:keepNext w:val="0"/>
        <w:keepLines w:val="0"/>
        <w:pageBreakBefore w:val="0"/>
        <w:kinsoku/>
        <w:wordWrap/>
        <w:overflowPunct/>
        <w:topLinePunct w:val="0"/>
        <w:bidi w:val="0"/>
        <w:snapToGrid w:val="0"/>
        <w:spacing w:line="50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4.采购人可视情组织答疑会。</w:t>
      </w:r>
    </w:p>
    <w:p>
      <w:pPr>
        <w:keepNext w:val="0"/>
        <w:keepLines w:val="0"/>
        <w:pageBreakBefore w:val="0"/>
        <w:kinsoku/>
        <w:wordWrap/>
        <w:overflowPunct/>
        <w:topLinePunct w:val="0"/>
        <w:bidi w:val="0"/>
        <w:snapToGrid w:val="0"/>
        <w:spacing w:line="500" w:lineRule="exact"/>
        <w:contextualSpacing/>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三、响应报价</w:t>
      </w:r>
    </w:p>
    <w:p>
      <w:pPr>
        <w:pStyle w:val="3"/>
        <w:keepNext w:val="0"/>
        <w:keepLines w:val="0"/>
        <w:pageBreakBefore w:val="0"/>
        <w:kinsoku/>
        <w:wordWrap/>
        <w:overflowPunct/>
        <w:topLinePunct w:val="0"/>
        <w:bidi w:val="0"/>
        <w:snapToGrid w:val="0"/>
        <w:spacing w:line="500" w:lineRule="exact"/>
        <w:ind w:left="0" w:firstLine="480" w:firstLineChars="200"/>
        <w:contextualSpacing/>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一个标的只允许一个报价，不接受任何有选择性的报价。</w:t>
      </w:r>
    </w:p>
    <w:p>
      <w:pPr>
        <w:pStyle w:val="6"/>
        <w:keepNext w:val="0"/>
        <w:keepLines w:val="0"/>
        <w:pageBreakBefore w:val="0"/>
        <w:widowControl/>
        <w:tabs>
          <w:tab w:val="left" w:pos="540"/>
        </w:tabs>
        <w:kinsoku/>
        <w:wordWrap/>
        <w:overflowPunct/>
        <w:topLinePunct w:val="0"/>
        <w:bidi w:val="0"/>
        <w:snapToGrid w:val="0"/>
        <w:spacing w:line="500" w:lineRule="exact"/>
        <w:ind w:firstLine="0"/>
        <w:contextualSpacing/>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四、磋商文件的编写、份数和签署</w:t>
      </w:r>
    </w:p>
    <w:p>
      <w:pPr>
        <w:keepNext w:val="0"/>
        <w:keepLines w:val="0"/>
        <w:pageBreakBefore w:val="0"/>
        <w:kinsoku/>
        <w:wordWrap/>
        <w:overflowPunct/>
        <w:topLinePunct w:val="0"/>
        <w:autoSpaceDE w:val="0"/>
        <w:autoSpaceDN w:val="0"/>
        <w:bidi w:val="0"/>
        <w:adjustRightInd w:val="0"/>
        <w:snapToGrid w:val="0"/>
        <w:spacing w:line="500" w:lineRule="exact"/>
        <w:ind w:firstLine="480" w:firstLineChars="200"/>
        <w:contextualSpacing/>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1.供应商按第 七 部分“响应文件组成及编制要求”编写响应文件，</w:t>
      </w:r>
      <w:r>
        <w:rPr>
          <w:rFonts w:hint="eastAsia" w:ascii="宋体" w:hAnsi="宋体" w:eastAsia="宋体" w:cs="宋体"/>
          <w:color w:val="auto"/>
          <w:sz w:val="24"/>
          <w:szCs w:val="24"/>
          <w:highlight w:val="none"/>
          <w:lang w:val="zh-CN"/>
        </w:rPr>
        <w:t>自编目录并连续标注页码，不得将内容拆开，并牢固装订成册。响应文件均需采用A4纸（</w:t>
      </w:r>
      <w:r>
        <w:rPr>
          <w:rFonts w:hint="eastAsia" w:ascii="宋体" w:hAnsi="宋体" w:eastAsia="宋体" w:cs="宋体"/>
          <w:color w:val="auto"/>
          <w:sz w:val="24"/>
          <w:szCs w:val="24"/>
          <w:highlight w:val="none"/>
        </w:rPr>
        <w:t>图纸等除外），不允许使用活页夹、拉杆夹、文件夹、塑料方便式书脊（插入式或穿孔式）装订。响应文件不得行间插字、涂改、增删，如修补错漏处，须经响应文件签署人签字并加盖公章。</w:t>
      </w:r>
    </w:p>
    <w:p>
      <w:pPr>
        <w:keepNext w:val="0"/>
        <w:keepLines w:val="0"/>
        <w:pageBreakBefore w:val="0"/>
        <w:kinsoku/>
        <w:wordWrap/>
        <w:overflowPunct/>
        <w:topLinePunct w:val="0"/>
        <w:bidi w:val="0"/>
        <w:snapToGrid w:val="0"/>
        <w:spacing w:line="500" w:lineRule="exact"/>
        <w:ind w:firstLine="480" w:firstLineChars="2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2.响应文件</w:t>
      </w:r>
      <w:r>
        <w:rPr>
          <w:rFonts w:hint="eastAsia" w:ascii="宋体" w:hAnsi="宋体" w:eastAsia="宋体" w:cs="宋体"/>
          <w:color w:val="auto"/>
          <w:sz w:val="24"/>
          <w:szCs w:val="24"/>
          <w:highlight w:val="none"/>
          <w:lang w:val="zh-CN"/>
        </w:rPr>
        <w:t>一</w:t>
      </w:r>
      <w:r>
        <w:rPr>
          <w:rFonts w:hint="eastAsia" w:ascii="宋体" w:hAnsi="宋体" w:eastAsia="宋体" w:cs="宋体"/>
          <w:color w:val="auto"/>
          <w:sz w:val="24"/>
          <w:szCs w:val="24"/>
          <w:highlight w:val="none"/>
        </w:rPr>
        <w:t>份正本和四份副本，并明确标注供应商</w:t>
      </w:r>
      <w:r>
        <w:rPr>
          <w:rFonts w:hint="eastAsia" w:ascii="宋体" w:hAnsi="宋体" w:eastAsia="宋体" w:cs="宋体"/>
          <w:color w:val="auto"/>
          <w:sz w:val="24"/>
          <w:szCs w:val="24"/>
          <w:highlight w:val="none"/>
          <w:lang w:val="zh-CN"/>
        </w:rPr>
        <w:t>全称、</w:t>
      </w:r>
      <w:r>
        <w:rPr>
          <w:rFonts w:hint="eastAsia" w:ascii="宋体" w:hAnsi="宋体" w:eastAsia="宋体" w:cs="宋体"/>
          <w:color w:val="auto"/>
          <w:sz w:val="24"/>
          <w:szCs w:val="24"/>
          <w:highlight w:val="none"/>
        </w:rPr>
        <w:t>“正本”、“副本”字样。</w:t>
      </w:r>
    </w:p>
    <w:p>
      <w:pPr>
        <w:keepNext w:val="0"/>
        <w:keepLines w:val="0"/>
        <w:pageBreakBefore w:val="0"/>
        <w:kinsoku/>
        <w:wordWrap/>
        <w:overflowPunct/>
        <w:topLinePunct w:val="0"/>
        <w:bidi w:val="0"/>
        <w:snapToGrid w:val="0"/>
        <w:spacing w:line="500" w:lineRule="exact"/>
        <w:ind w:firstLine="480" w:firstLineChars="200"/>
        <w:contextualSpacing/>
        <w:jc w:val="distribute"/>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3.响应文件正本须打印并由供应商法定代表人或授权代理人签</w:t>
      </w:r>
    </w:p>
    <w:p>
      <w:pPr>
        <w:keepNext w:val="0"/>
        <w:keepLines w:val="0"/>
        <w:pageBreakBefore w:val="0"/>
        <w:kinsoku/>
        <w:wordWrap/>
        <w:overflowPunct/>
        <w:topLinePunct w:val="0"/>
        <w:bidi w:val="0"/>
        <w:snapToGrid w:val="0"/>
        <w:spacing w:line="500" w:lineRule="exact"/>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字并加盖单位印章。副本可复印，但须加盖单位印章。</w:t>
      </w:r>
    </w:p>
    <w:p>
      <w:pPr>
        <w:keepNext w:val="0"/>
        <w:keepLines w:val="0"/>
        <w:pageBreakBefore w:val="0"/>
        <w:kinsoku/>
        <w:wordWrap/>
        <w:overflowPunct/>
        <w:topLinePunct w:val="0"/>
        <w:bidi w:val="0"/>
        <w:snapToGrid w:val="0"/>
        <w:spacing w:line="500" w:lineRule="exact"/>
        <w:contextualSpacing/>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五、响应文件的密封及标记</w:t>
      </w:r>
    </w:p>
    <w:p>
      <w:pPr>
        <w:keepNext w:val="0"/>
        <w:keepLines w:val="0"/>
        <w:pageBreakBefore w:val="0"/>
        <w:kinsoku/>
        <w:wordWrap/>
        <w:overflowPunct/>
        <w:topLinePunct w:val="0"/>
        <w:bidi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1.供应商应将正本、副本及图纸类等（如需提供图纸等其它资料的话）合并密封，统一装在一个密封袋或密封箱内（如有A3大小的图纸类，可单独密封）。</w:t>
      </w:r>
    </w:p>
    <w:p>
      <w:pPr>
        <w:keepNext w:val="0"/>
        <w:keepLines w:val="0"/>
        <w:pageBreakBefore w:val="0"/>
        <w:kinsoku/>
        <w:wordWrap/>
        <w:overflowPunct/>
        <w:topLinePunct w:val="0"/>
        <w:bidi w:val="0"/>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2.响应报价表一式五份须单独密封，不得出现于正本或副本等响应文件资料中。</w:t>
      </w:r>
    </w:p>
    <w:p>
      <w:pPr>
        <w:keepNext w:val="0"/>
        <w:keepLines w:val="0"/>
        <w:pageBreakBefore w:val="0"/>
        <w:kinsoku/>
        <w:wordWrap/>
        <w:overflowPunct/>
        <w:topLinePunct w:val="0"/>
        <w:bidi w:val="0"/>
        <w:snapToGrid w:val="0"/>
        <w:spacing w:line="500" w:lineRule="exact"/>
        <w:ind w:firstLine="480" w:firstLineChars="200"/>
        <w:contextualSpacing/>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3.密封后应分别标明响应文件项目名称及竞争性磋商资格审查证明材料（原件包备查）、磋商响应文件包、价格包、原件包、电子投标文件，边缝处加盖单位骑缝章或骑缝签字，并注明于开标前不得启封。</w:t>
      </w:r>
    </w:p>
    <w:p>
      <w:pPr>
        <w:keepNext w:val="0"/>
        <w:keepLines w:val="0"/>
        <w:pageBreakBefore w:val="0"/>
        <w:kinsoku/>
        <w:wordWrap/>
        <w:overflowPunct/>
        <w:topLinePunct w:val="0"/>
        <w:bidi w:val="0"/>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4.原件包由授权委托代理人携带至磋商开标现场递交。</w:t>
      </w:r>
    </w:p>
    <w:p>
      <w:pPr>
        <w:keepNext w:val="0"/>
        <w:keepLines w:val="0"/>
        <w:pageBreakBefore w:val="0"/>
        <w:kinsoku/>
        <w:wordWrap/>
        <w:overflowPunct/>
        <w:topLinePunct w:val="0"/>
        <w:bidi w:val="0"/>
        <w:snapToGrid w:val="0"/>
        <w:spacing w:line="500" w:lineRule="exact"/>
        <w:ind w:firstLine="480" w:firstLineChars="2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供应商在响应文件递交截止时间前，必须随附与响应文件正本内容相同的电子文档U盘（放在电子投标文件袋内单独密封）。电子文档容量小于100M，格式为只读文件（.pdf）。所有商务技术部分必须归集到一个文件名下，文件格式为公司名加磋商项目（例：X公司X竞争性磋商采购项目）。未提交响应文件电子文档的，采购人将拒绝接收磋商响应文件。</w:t>
      </w:r>
    </w:p>
    <w:p>
      <w:pPr>
        <w:keepNext w:val="0"/>
        <w:keepLines w:val="0"/>
        <w:pageBreakBefore w:val="0"/>
        <w:kinsoku/>
        <w:wordWrap/>
        <w:overflowPunct/>
        <w:topLinePunct w:val="0"/>
        <w:bidi w:val="0"/>
        <w:snapToGrid w:val="0"/>
        <w:spacing w:line="500" w:lineRule="exact"/>
        <w:ind w:firstLine="480" w:firstLineChars="200"/>
        <w:contextualSpacing/>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sz w:val="24"/>
          <w:szCs w:val="24"/>
          <w:highlight w:val="none"/>
        </w:rPr>
        <w:t>6.提交的响应文件的内容不清楚或不清晰的（含扫描件），造成无法评审或部分影响评审的，或者</w:t>
      </w:r>
      <w:r>
        <w:rPr>
          <w:rFonts w:hint="eastAsia" w:ascii="宋体" w:hAnsi="宋体" w:eastAsia="宋体" w:cs="宋体"/>
          <w:color w:val="auto"/>
          <w:kern w:val="0"/>
          <w:sz w:val="24"/>
          <w:szCs w:val="24"/>
          <w:highlight w:val="none"/>
          <w:lang w:val="zh-CN"/>
        </w:rPr>
        <w:t>电子文件与正本文件不符，导致评审差错的，责任由响应人自负。</w:t>
      </w:r>
    </w:p>
    <w:p>
      <w:pPr>
        <w:pStyle w:val="16"/>
        <w:keepNext w:val="0"/>
        <w:keepLines w:val="0"/>
        <w:pageBreakBefore w:val="0"/>
        <w:shd w:val="clear" w:color="auto" w:fill="FFFFFF"/>
        <w:kinsoku/>
        <w:wordWrap/>
        <w:overflowPunct/>
        <w:topLinePunct w:val="0"/>
        <w:bidi w:val="0"/>
        <w:spacing w:before="0" w:beforeAutospacing="0" w:after="0" w:afterAutospacing="0"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w:t>
      </w:r>
      <w:r>
        <w:rPr>
          <w:rFonts w:hint="eastAsia" w:ascii="宋体" w:hAnsi="宋体" w:eastAsia="宋体" w:cs="宋体"/>
          <w:b/>
          <w:color w:val="auto"/>
          <w:sz w:val="24"/>
          <w:szCs w:val="24"/>
          <w:highlight w:val="none"/>
          <w:shd w:val="clear" w:color="auto" w:fill="FFFFFF"/>
        </w:rPr>
        <w:t>不予退还投标保证金的情形</w:t>
      </w:r>
    </w:p>
    <w:p>
      <w:pPr>
        <w:pStyle w:val="16"/>
        <w:keepNext w:val="0"/>
        <w:keepLines w:val="0"/>
        <w:pageBreakBefore w:val="0"/>
        <w:shd w:val="clear" w:color="auto" w:fill="FFFFFF"/>
        <w:kinsoku/>
        <w:wordWrap/>
        <w:overflowPunct/>
        <w:topLinePunct w:val="0"/>
        <w:bidi w:val="0"/>
        <w:spacing w:before="0" w:beforeAutospacing="0" w:after="0" w:afterAutospacing="0"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有下列情形之一的，保证金不予退还：</w:t>
      </w:r>
    </w:p>
    <w:p>
      <w:pPr>
        <w:pStyle w:val="16"/>
        <w:keepNext w:val="0"/>
        <w:keepLines w:val="0"/>
        <w:pageBreakBefore w:val="0"/>
        <w:shd w:val="clear" w:color="auto" w:fill="FFFFFF"/>
        <w:kinsoku/>
        <w:wordWrap/>
        <w:overflowPunct/>
        <w:topLinePunct w:val="0"/>
        <w:bidi w:val="0"/>
        <w:spacing w:before="0" w:beforeAutospacing="0" w:after="0" w:afterAutospacing="0"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（一）供应商在提交响应文件截止时间后撤回响应文件的；</w:t>
      </w:r>
    </w:p>
    <w:p>
      <w:pPr>
        <w:pStyle w:val="16"/>
        <w:keepNext w:val="0"/>
        <w:keepLines w:val="0"/>
        <w:pageBreakBefore w:val="0"/>
        <w:shd w:val="clear" w:color="auto" w:fill="FFFFFF"/>
        <w:kinsoku/>
        <w:wordWrap/>
        <w:overflowPunct/>
        <w:topLinePunct w:val="0"/>
        <w:bidi w:val="0"/>
        <w:spacing w:before="0" w:beforeAutospacing="0" w:after="0" w:afterAutospacing="0"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（二）供应商在响应文件中提供虚假材料的；</w:t>
      </w:r>
    </w:p>
    <w:p>
      <w:pPr>
        <w:pStyle w:val="16"/>
        <w:keepNext w:val="0"/>
        <w:keepLines w:val="0"/>
        <w:pageBreakBefore w:val="0"/>
        <w:shd w:val="clear" w:color="auto" w:fill="FFFFFF"/>
        <w:kinsoku/>
        <w:wordWrap/>
        <w:overflowPunct/>
        <w:topLinePunct w:val="0"/>
        <w:bidi w:val="0"/>
        <w:spacing w:before="0" w:beforeAutospacing="0" w:after="0" w:afterAutospacing="0"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（三）除因不可抗力或磋商文件认可的情形以外，成交供应商不与采购人签订合同的；</w:t>
      </w:r>
    </w:p>
    <w:p>
      <w:pPr>
        <w:pStyle w:val="16"/>
        <w:keepNext w:val="0"/>
        <w:keepLines w:val="0"/>
        <w:pageBreakBefore w:val="0"/>
        <w:shd w:val="clear" w:color="auto" w:fill="FFFFFF"/>
        <w:kinsoku/>
        <w:wordWrap/>
        <w:overflowPunct/>
        <w:topLinePunct w:val="0"/>
        <w:bidi w:val="0"/>
        <w:spacing w:before="0" w:beforeAutospacing="0" w:after="0" w:afterAutospacing="0"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（四）供应商与采购人、其他供应商或者采购人恶意串通的；</w:t>
      </w:r>
    </w:p>
    <w:p>
      <w:pPr>
        <w:pStyle w:val="16"/>
        <w:keepNext w:val="0"/>
        <w:keepLines w:val="0"/>
        <w:pageBreakBefore w:val="0"/>
        <w:shd w:val="clear" w:color="auto" w:fill="FFFFFF"/>
        <w:kinsoku/>
        <w:wordWrap/>
        <w:overflowPunct/>
        <w:topLinePunct w:val="0"/>
        <w:bidi w:val="0"/>
        <w:spacing w:before="0" w:beforeAutospacing="0" w:after="0" w:afterAutospacing="0"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（五）磋商文件规定的其他情形。</w:t>
      </w:r>
    </w:p>
    <w:p>
      <w:pPr>
        <w:keepNext w:val="0"/>
        <w:keepLines w:val="0"/>
        <w:pageBreakBefore w:val="0"/>
        <w:kinsoku/>
        <w:wordWrap/>
        <w:overflowPunct/>
        <w:topLinePunct w:val="0"/>
        <w:bidi w:val="0"/>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（六）上线测试15天，出现与招标文件要求的性能参数或者服务不符的，一周内不能解决问题的，即视为投标人以其他方式弄虚作假骗取中标的。</w:t>
      </w:r>
    </w:p>
    <w:p>
      <w:pPr>
        <w:pStyle w:val="16"/>
        <w:keepNext w:val="0"/>
        <w:keepLines w:val="0"/>
        <w:pageBreakBefore w:val="0"/>
        <w:shd w:val="clear" w:color="auto" w:fill="FFFFFF"/>
        <w:kinsoku/>
        <w:wordWrap/>
        <w:overflowPunct/>
        <w:topLinePunct w:val="0"/>
        <w:bidi w:val="0"/>
        <w:spacing w:before="0" w:beforeAutospacing="0" w:after="0" w:afterAutospacing="0"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供应商在磋商规定开始时间无故迟到的，采购单位有权收取其保证金的10%作为违约金。</w:t>
      </w:r>
    </w:p>
    <w:p>
      <w:pPr>
        <w:keepNext w:val="0"/>
        <w:keepLines w:val="0"/>
        <w:pageBreakBefore w:val="0"/>
        <w:widowControl/>
        <w:shd w:val="clear" w:color="auto" w:fill="FFFFFF"/>
        <w:kinsoku/>
        <w:wordWrap/>
        <w:overflowPunct/>
        <w:topLinePunct w:val="0"/>
        <w:bidi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已提交响应文件的供应商，在提交最后报价之前，可以根据磋商情况退出磋商（参与磋商的供应商少于2家的，不得退出磋商）。采购单位应当退还退出磋商的供应商的保证金。</w:t>
      </w:r>
    </w:p>
    <w:p>
      <w:pPr>
        <w:keepNext w:val="0"/>
        <w:keepLines w:val="0"/>
        <w:pageBreakBefore w:val="0"/>
        <w:kinsoku/>
        <w:wordWrap/>
        <w:overflowPunct/>
        <w:topLinePunct w:val="0"/>
        <w:bidi w:val="0"/>
        <w:snapToGrid w:val="0"/>
        <w:spacing w:line="500" w:lineRule="exact"/>
        <w:contextualSpacing/>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七、最后报价</w:t>
      </w:r>
    </w:p>
    <w:p>
      <w:pPr>
        <w:pStyle w:val="40"/>
        <w:keepNext w:val="0"/>
        <w:keepLines w:val="0"/>
        <w:pageBreakBefore w:val="0"/>
        <w:kinsoku/>
        <w:wordWrap/>
        <w:overflowPunct/>
        <w:topLinePunct w:val="0"/>
        <w:bidi w:val="0"/>
        <w:snapToGrid w:val="0"/>
        <w:spacing w:line="500" w:lineRule="exact"/>
        <w:ind w:firstLine="577"/>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1.磋商及评审结束后，供应商就所有内容进行最后报价，少报无效。</w:t>
      </w:r>
    </w:p>
    <w:p>
      <w:pPr>
        <w:pStyle w:val="40"/>
        <w:keepNext w:val="0"/>
        <w:keepLines w:val="0"/>
        <w:pageBreakBefore w:val="0"/>
        <w:kinsoku/>
        <w:wordWrap/>
        <w:overflowPunct/>
        <w:topLinePunct w:val="0"/>
        <w:bidi w:val="0"/>
        <w:snapToGrid w:val="0"/>
        <w:spacing w:line="500" w:lineRule="exact"/>
        <w:ind w:firstLine="577"/>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2.最后报价应包括本项目的全部费用 (含一切必须的辅助费用)及相关服务费等。 </w:t>
      </w:r>
    </w:p>
    <w:p>
      <w:pPr>
        <w:pStyle w:val="40"/>
        <w:keepNext w:val="0"/>
        <w:keepLines w:val="0"/>
        <w:pageBreakBefore w:val="0"/>
        <w:kinsoku/>
        <w:wordWrap/>
        <w:overflowPunct/>
        <w:topLinePunct w:val="0"/>
        <w:bidi w:val="0"/>
        <w:snapToGrid w:val="0"/>
        <w:spacing w:line="500" w:lineRule="exact"/>
        <w:ind w:firstLine="577"/>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3.最后报价将作为磋商小组评定成交候选供应商的组成依据。</w:t>
      </w:r>
    </w:p>
    <w:p>
      <w:pPr>
        <w:keepNext w:val="0"/>
        <w:keepLines w:val="0"/>
        <w:pageBreakBefore w:val="0"/>
        <w:kinsoku/>
        <w:wordWrap/>
        <w:overflowPunct/>
        <w:topLinePunct w:val="0"/>
        <w:bidi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八、磋商</w:t>
      </w:r>
      <w:r>
        <w:rPr>
          <w:rFonts w:hint="eastAsia" w:ascii="宋体" w:hAnsi="宋体" w:eastAsia="宋体" w:cs="宋体"/>
          <w:b/>
          <w:color w:val="auto"/>
          <w:sz w:val="24"/>
          <w:szCs w:val="24"/>
          <w:highlight w:val="none"/>
        </w:rPr>
        <w:t>相关</w:t>
      </w:r>
      <w:r>
        <w:rPr>
          <w:rFonts w:hint="eastAsia" w:ascii="宋体" w:hAnsi="宋体" w:eastAsia="宋体" w:cs="宋体"/>
          <w:b/>
          <w:bCs/>
          <w:color w:val="auto"/>
          <w:sz w:val="24"/>
          <w:szCs w:val="24"/>
          <w:highlight w:val="none"/>
        </w:rPr>
        <w:t>费用</w:t>
      </w:r>
    </w:p>
    <w:p>
      <w:pPr>
        <w:keepNext w:val="0"/>
        <w:keepLines w:val="0"/>
        <w:pageBreakBefore w:val="0"/>
        <w:kinsoku/>
        <w:wordWrap/>
        <w:overflowPunct/>
        <w:topLinePunct w:val="0"/>
        <w:bidi w:val="0"/>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1.供应商承担参与磋商采购可能发生的全部费用，采购人在任何情况下均无义务和责任承担这些费用。</w:t>
      </w:r>
    </w:p>
    <w:p>
      <w:pPr>
        <w:keepNext w:val="0"/>
        <w:keepLines w:val="0"/>
        <w:pageBreakBefore w:val="0"/>
        <w:kinsoku/>
        <w:wordWrap/>
        <w:overflowPunct/>
        <w:topLinePunct w:val="0"/>
        <w:bidi w:val="0"/>
        <w:snapToGrid w:val="0"/>
        <w:spacing w:line="500" w:lineRule="exact"/>
        <w:ind w:firstLine="480" w:firstLineChars="2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2.采购人不收取任何本项目磋商公告以外的费用。</w:t>
      </w:r>
    </w:p>
    <w:p>
      <w:pPr>
        <w:pStyle w:val="5"/>
        <w:spacing w:before="240" w:after="240" w:line="360" w:lineRule="auto"/>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 xml:space="preserve">第三部分  </w:t>
      </w:r>
      <w:r>
        <w:rPr>
          <w:rFonts w:hint="eastAsia" w:ascii="宋体" w:hAnsi="宋体" w:eastAsia="宋体" w:cs="宋体"/>
          <w:color w:val="auto"/>
          <w:sz w:val="32"/>
          <w:szCs w:val="32"/>
          <w:highlight w:val="none"/>
        </w:rPr>
        <w:t>采购需求</w:t>
      </w:r>
      <w:bookmarkEnd w:id="3"/>
    </w:p>
    <w:p>
      <w:pPr>
        <w:pageBreakBefore w:val="0"/>
        <w:widowControl/>
        <w:kinsoku/>
        <w:wordWrap/>
        <w:overflowPunct/>
        <w:topLinePunct w:val="0"/>
        <w:bidi w:val="0"/>
        <w:spacing w:line="440" w:lineRule="exact"/>
        <w:ind w:firstLine="480" w:firstLineChars="200"/>
        <w:textAlignment w:val="auto"/>
        <w:rPr>
          <w:rFonts w:hint="eastAsia" w:ascii="宋体" w:hAnsi="宋体" w:eastAsia="宋体" w:cs="宋体"/>
          <w:bCs/>
          <w:color w:val="auto"/>
          <w:kern w:val="0"/>
          <w:sz w:val="24"/>
          <w:szCs w:val="24"/>
          <w:highlight w:val="none"/>
        </w:rPr>
      </w:pPr>
      <w:r>
        <w:rPr>
          <w:rFonts w:hint="eastAsia" w:ascii="宋体" w:hAnsi="宋体" w:eastAsia="宋体" w:cs="宋体"/>
          <w:color w:val="auto"/>
          <w:kern w:val="0"/>
          <w:sz w:val="24"/>
          <w:szCs w:val="24"/>
          <w:highlight w:val="none"/>
        </w:rPr>
        <w:t>为落实《网络安全法》第二十一条第三款“网络运营者应当按照网络安全等级保护制度的要求”，</w:t>
      </w:r>
      <w:r>
        <w:rPr>
          <w:rFonts w:hint="eastAsia" w:ascii="宋体" w:hAnsi="宋体" w:eastAsia="宋体" w:cs="宋体"/>
          <w:color w:val="auto"/>
          <w:sz w:val="24"/>
          <w:szCs w:val="24"/>
          <w:highlight w:val="none"/>
        </w:rPr>
        <w:t>南通日报社（南通报业传媒集团）决定对单位信息系统进行网络安全等级保护测评</w:t>
      </w:r>
      <w:r>
        <w:rPr>
          <w:rFonts w:hint="eastAsia" w:ascii="宋体" w:hAnsi="宋体" w:eastAsia="宋体" w:cs="宋体"/>
          <w:color w:val="auto"/>
          <w:kern w:val="0"/>
          <w:sz w:val="24"/>
          <w:szCs w:val="24"/>
          <w:highlight w:val="none"/>
        </w:rPr>
        <w:t>，以明确信息系统现状，发现系统内部存在的安全隐患和不足，明确整改方向，降低系统被攻击的风险。</w:t>
      </w:r>
    </w:p>
    <w:p>
      <w:pPr>
        <w:pageBreakBefore w:val="0"/>
        <w:kinsoku/>
        <w:wordWrap/>
        <w:overflowPunct/>
        <w:topLinePunct w:val="0"/>
        <w:bidi w:val="0"/>
        <w:spacing w:before="156" w:beforeLines="50" w:after="156" w:afterLines="50" w:line="44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一、本项目测评范围</w:t>
      </w:r>
    </w:p>
    <w:tbl>
      <w:tblPr>
        <w:tblStyle w:val="18"/>
        <w:tblW w:w="7260" w:type="dxa"/>
        <w:tblInd w:w="7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690"/>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top"/>
          </w:tcPr>
          <w:p>
            <w:pPr>
              <w:pageBreakBefore w:val="0"/>
              <w:kinsoku/>
              <w:wordWrap/>
              <w:overflowPunct/>
              <w:topLinePunct w:val="0"/>
              <w:bidi w:val="0"/>
              <w:snapToGrid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690" w:type="dxa"/>
            <w:noWrap w:val="0"/>
            <w:vAlign w:val="top"/>
          </w:tcPr>
          <w:p>
            <w:pPr>
              <w:pageBreakBefore w:val="0"/>
              <w:kinsoku/>
              <w:wordWrap/>
              <w:overflowPunct/>
              <w:topLinePunct w:val="0"/>
              <w:bidi w:val="0"/>
              <w:snapToGrid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信息系统名称</w:t>
            </w:r>
          </w:p>
        </w:tc>
        <w:tc>
          <w:tcPr>
            <w:tcW w:w="2490" w:type="dxa"/>
            <w:noWrap w:val="0"/>
            <w:vAlign w:val="top"/>
          </w:tcPr>
          <w:p>
            <w:pPr>
              <w:pageBreakBefore w:val="0"/>
              <w:kinsoku/>
              <w:wordWrap/>
              <w:overflowPunct/>
              <w:topLinePunct w:val="0"/>
              <w:bidi w:val="0"/>
              <w:snapToGrid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备案登记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top"/>
          </w:tcPr>
          <w:p>
            <w:pPr>
              <w:pageBreakBefore w:val="0"/>
              <w:kinsoku/>
              <w:wordWrap/>
              <w:overflowPunct/>
              <w:topLinePunct w:val="0"/>
              <w:bidi w:val="0"/>
              <w:snapToGrid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690" w:type="dxa"/>
            <w:noWrap w:val="0"/>
            <w:vAlign w:val="top"/>
          </w:tcPr>
          <w:p>
            <w:pPr>
              <w:pageBreakBefore w:val="0"/>
              <w:kinsoku/>
              <w:wordWrap/>
              <w:overflowPunct/>
              <w:topLinePunct w:val="0"/>
              <w:bidi w:val="0"/>
              <w:snapToGrid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南通网网站系统</w:t>
            </w:r>
          </w:p>
        </w:tc>
        <w:tc>
          <w:tcPr>
            <w:tcW w:w="2490" w:type="dxa"/>
            <w:noWrap w:val="0"/>
            <w:vAlign w:val="top"/>
          </w:tcPr>
          <w:p>
            <w:pPr>
              <w:pageBreakBefore w:val="0"/>
              <w:kinsoku/>
              <w:wordWrap/>
              <w:overflowPunct/>
              <w:topLinePunct w:val="0"/>
              <w:bidi w:val="0"/>
              <w:snapToGrid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top"/>
          </w:tcPr>
          <w:p>
            <w:pPr>
              <w:pageBreakBefore w:val="0"/>
              <w:kinsoku/>
              <w:wordWrap/>
              <w:overflowPunct/>
              <w:topLinePunct w:val="0"/>
              <w:bidi w:val="0"/>
              <w:snapToGrid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3690" w:type="dxa"/>
            <w:noWrap w:val="0"/>
            <w:vAlign w:val="top"/>
          </w:tcPr>
          <w:p>
            <w:pPr>
              <w:pageBreakBefore w:val="0"/>
              <w:kinsoku/>
              <w:wordWrap/>
              <w:overflowPunct/>
              <w:topLinePunct w:val="0"/>
              <w:bidi w:val="0"/>
              <w:snapToGrid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南通报业集团采编系统</w:t>
            </w:r>
          </w:p>
        </w:tc>
        <w:tc>
          <w:tcPr>
            <w:tcW w:w="2490" w:type="dxa"/>
            <w:noWrap w:val="0"/>
            <w:vAlign w:val="top"/>
          </w:tcPr>
          <w:p>
            <w:pPr>
              <w:pageBreakBefore w:val="0"/>
              <w:kinsoku/>
              <w:wordWrap/>
              <w:overflowPunct/>
              <w:topLinePunct w:val="0"/>
              <w:bidi w:val="0"/>
              <w:snapToGrid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叁级</w:t>
            </w:r>
          </w:p>
        </w:tc>
      </w:tr>
    </w:tbl>
    <w:p>
      <w:pPr>
        <w:pageBreakBefore w:val="0"/>
        <w:kinsoku/>
        <w:wordWrap/>
        <w:overflowPunct/>
        <w:topLinePunct w:val="0"/>
        <w:bidi w:val="0"/>
        <w:spacing w:before="156" w:beforeLines="50" w:after="156" w:afterLines="50" w:line="44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二、测评单位要求</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1、投标人具有公安部门网络安全等级保护评估中心颁发的《网络安全等级保护测评机构推荐证书》，提供证书复印件（加盖公章）；</w:t>
      </w:r>
    </w:p>
    <w:p>
      <w:pPr>
        <w:pageBreakBefore w:val="0"/>
        <w:kinsoku/>
        <w:wordWrap/>
        <w:overflowPunct/>
        <w:topLinePunct w:val="0"/>
        <w:bidi w:val="0"/>
        <w:spacing w:before="156" w:beforeLines="50" w:after="156" w:afterLines="50" w:line="44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三、测评内容</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1、总体要求：</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A．完成上述系统安全等级测评工作，测评后经用户方确认，出具符合</w:t>
      </w:r>
      <w:r>
        <w:rPr>
          <w:rStyle w:val="32"/>
          <w:rFonts w:hint="eastAsia" w:ascii="宋体" w:hAnsi="宋体" w:eastAsia="宋体" w:cs="宋体"/>
          <w:color w:val="auto"/>
          <w:sz w:val="24"/>
          <w:szCs w:val="24"/>
          <w:highlight w:val="none"/>
        </w:rPr>
        <w:t>网络安全等级保护</w:t>
      </w:r>
      <w:r>
        <w:rPr>
          <w:rFonts w:hint="eastAsia" w:ascii="宋体" w:hAnsi="宋体" w:eastAsia="宋体" w:cs="宋体"/>
          <w:color w:val="auto"/>
          <w:sz w:val="24"/>
          <w:szCs w:val="24"/>
          <w:highlight w:val="none"/>
        </w:rPr>
        <w:t>测评要求的测评报告；</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B．对上述系统不符合</w:t>
      </w:r>
      <w:r>
        <w:rPr>
          <w:rStyle w:val="32"/>
          <w:rFonts w:hint="eastAsia" w:ascii="宋体" w:hAnsi="宋体" w:eastAsia="宋体" w:cs="宋体"/>
          <w:color w:val="auto"/>
          <w:sz w:val="24"/>
          <w:szCs w:val="24"/>
          <w:highlight w:val="none"/>
        </w:rPr>
        <w:t>网络安全等级保护</w:t>
      </w:r>
      <w:r>
        <w:rPr>
          <w:rFonts w:hint="eastAsia" w:ascii="宋体" w:hAnsi="宋体" w:eastAsia="宋体" w:cs="宋体"/>
          <w:color w:val="auto"/>
          <w:sz w:val="24"/>
          <w:szCs w:val="24"/>
          <w:highlight w:val="none"/>
        </w:rPr>
        <w:t>有关管理规范和技术标准的，提出可行性整改方案，提供相应的安全整改建议书。</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2、质量要求：</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A．等级测评及服务原则：符合性原则、标准性原则、规范性原则、可控性原则、整体性原则。</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w:t>
      </w:r>
      <w:r>
        <w:rPr>
          <w:rStyle w:val="32"/>
          <w:rFonts w:hint="eastAsia" w:ascii="宋体" w:hAnsi="宋体" w:eastAsia="宋体" w:cs="宋体"/>
          <w:color w:val="auto"/>
          <w:sz w:val="24"/>
          <w:szCs w:val="24"/>
          <w:highlight w:val="none"/>
        </w:rPr>
        <w:t>网络安全等级保护</w:t>
      </w:r>
      <w:r>
        <w:rPr>
          <w:rFonts w:hint="eastAsia" w:ascii="宋体" w:hAnsi="宋体" w:eastAsia="宋体" w:cs="宋体"/>
          <w:color w:val="auto"/>
          <w:sz w:val="24"/>
          <w:szCs w:val="24"/>
          <w:highlight w:val="none"/>
        </w:rPr>
        <w:t>定级及测评服务依据：</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《中华人民共和国网络安全法》</w:t>
      </w:r>
    </w:p>
    <w:p>
      <w:pPr>
        <w:pageBreakBefore w:val="0"/>
        <w:kinsoku/>
        <w:wordWrap/>
        <w:overflowPunct/>
        <w:topLinePunct w:val="0"/>
        <w:bidi w:val="0"/>
        <w:spacing w:line="440" w:lineRule="exact"/>
        <w:ind w:firstLine="482" w:firstLineChars="200"/>
        <w:textAlignment w:val="auto"/>
        <w:rPr>
          <w:rStyle w:val="32"/>
          <w:rFonts w:hint="eastAsia" w:ascii="宋体" w:hAnsi="宋体" w:eastAsia="宋体" w:cs="宋体"/>
          <w:b w:val="0"/>
          <w:color w:val="auto"/>
          <w:sz w:val="24"/>
          <w:szCs w:val="24"/>
          <w:highlight w:val="none"/>
        </w:rPr>
      </w:pPr>
      <w:r>
        <w:rPr>
          <w:rStyle w:val="32"/>
          <w:rFonts w:hint="eastAsia" w:ascii="宋体" w:hAnsi="宋体" w:eastAsia="宋体" w:cs="宋体"/>
          <w:color w:val="auto"/>
          <w:sz w:val="24"/>
          <w:szCs w:val="24"/>
          <w:highlight w:val="none"/>
        </w:rPr>
        <w:t>《GB/T22239-2019信息安全技术 网络安全等级保护基本要求》，</w:t>
      </w:r>
    </w:p>
    <w:p>
      <w:pPr>
        <w:pageBreakBefore w:val="0"/>
        <w:kinsoku/>
        <w:wordWrap/>
        <w:overflowPunct/>
        <w:topLinePunct w:val="0"/>
        <w:bidi w:val="0"/>
        <w:spacing w:line="440" w:lineRule="exact"/>
        <w:ind w:firstLine="482" w:firstLineChars="200"/>
        <w:textAlignment w:val="auto"/>
        <w:rPr>
          <w:rStyle w:val="32"/>
          <w:rFonts w:hint="eastAsia" w:ascii="宋体" w:hAnsi="宋体" w:eastAsia="宋体" w:cs="宋体"/>
          <w:b w:val="0"/>
          <w:color w:val="auto"/>
          <w:sz w:val="24"/>
          <w:szCs w:val="24"/>
          <w:highlight w:val="none"/>
        </w:rPr>
      </w:pPr>
      <w:r>
        <w:rPr>
          <w:rStyle w:val="32"/>
          <w:rFonts w:hint="eastAsia" w:ascii="宋体" w:hAnsi="宋体" w:eastAsia="宋体" w:cs="宋体"/>
          <w:color w:val="auto"/>
          <w:sz w:val="24"/>
          <w:szCs w:val="24"/>
          <w:highlight w:val="none"/>
        </w:rPr>
        <w:t>《GB/T28448-2019 信息安全技术 网络安全等级保护测评要求》，</w:t>
      </w:r>
    </w:p>
    <w:p>
      <w:pPr>
        <w:pageBreakBefore w:val="0"/>
        <w:kinsoku/>
        <w:wordWrap/>
        <w:overflowPunct/>
        <w:topLinePunct w:val="0"/>
        <w:bidi w:val="0"/>
        <w:spacing w:line="440" w:lineRule="exact"/>
        <w:ind w:firstLine="482" w:firstLineChars="200"/>
        <w:textAlignment w:val="auto"/>
        <w:rPr>
          <w:rStyle w:val="32"/>
          <w:rFonts w:hint="eastAsia" w:ascii="宋体" w:hAnsi="宋体" w:eastAsia="宋体" w:cs="宋体"/>
          <w:b w:val="0"/>
          <w:color w:val="auto"/>
          <w:sz w:val="24"/>
          <w:szCs w:val="24"/>
          <w:highlight w:val="none"/>
        </w:rPr>
      </w:pPr>
      <w:r>
        <w:rPr>
          <w:rStyle w:val="32"/>
          <w:rFonts w:hint="eastAsia" w:ascii="宋体" w:hAnsi="宋体" w:eastAsia="宋体" w:cs="宋体"/>
          <w:color w:val="auto"/>
          <w:sz w:val="24"/>
          <w:szCs w:val="24"/>
          <w:highlight w:val="none"/>
        </w:rPr>
        <w:t>《GB/T 28449-2018 信息安全技术 网络安全等级保护测评过程指南》，</w:t>
      </w:r>
    </w:p>
    <w:p>
      <w:pPr>
        <w:pageBreakBefore w:val="0"/>
        <w:kinsoku/>
        <w:wordWrap/>
        <w:overflowPunct/>
        <w:topLinePunct w:val="0"/>
        <w:bidi w:val="0"/>
        <w:spacing w:line="440" w:lineRule="exact"/>
        <w:ind w:firstLine="482" w:firstLineChars="200"/>
        <w:textAlignment w:val="auto"/>
        <w:rPr>
          <w:rStyle w:val="32"/>
          <w:rFonts w:hint="eastAsia" w:ascii="宋体" w:hAnsi="宋体" w:eastAsia="宋体" w:cs="宋体"/>
          <w:b w:val="0"/>
          <w:color w:val="auto"/>
          <w:sz w:val="24"/>
          <w:szCs w:val="24"/>
          <w:highlight w:val="none"/>
        </w:rPr>
      </w:pPr>
      <w:r>
        <w:rPr>
          <w:rStyle w:val="32"/>
          <w:rFonts w:hint="eastAsia" w:ascii="宋体" w:hAnsi="宋体" w:eastAsia="宋体" w:cs="宋体"/>
          <w:color w:val="auto"/>
          <w:sz w:val="24"/>
          <w:szCs w:val="24"/>
          <w:highlight w:val="none"/>
        </w:rPr>
        <w:t>《GB/T 25058-2019 信息安全技术 网络安全等级保护实施指南》。</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3、网络安全等级保护测评内容：</w:t>
      </w:r>
    </w:p>
    <w:p>
      <w:pPr>
        <w:pageBreakBefore w:val="0"/>
        <w:kinsoku/>
        <w:wordWrap/>
        <w:overflowPunct/>
        <w:topLinePunct w:val="0"/>
        <w:bidi w:val="0"/>
        <w:spacing w:before="156" w:beforeLines="50" w:after="156" w:afterLines="50"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A．安全技术测评：包括安全物理环境、安全区域边界、安全通信网络、安全计算环境和安全管理中心五个方面的安全测评；</w:t>
      </w:r>
    </w:p>
    <w:p>
      <w:pPr>
        <w:pageBreakBefore w:val="0"/>
        <w:kinsoku/>
        <w:wordWrap/>
        <w:overflowPunct/>
        <w:topLinePunct w:val="0"/>
        <w:bidi w:val="0"/>
        <w:spacing w:before="156" w:beforeLines="50" w:after="156" w:afterLines="50"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B．安全管理测评：安全管理机构、安全管理制度、安全管理人员、安全建设管理和安全运维管理五个方面的安全控制测评。</w:t>
      </w:r>
    </w:p>
    <w:p>
      <w:pPr>
        <w:pageBreakBefore w:val="0"/>
        <w:kinsoku/>
        <w:wordWrap/>
        <w:overflowPunct/>
        <w:topLinePunct w:val="0"/>
        <w:bidi w:val="0"/>
        <w:spacing w:before="156" w:beforeLines="50" w:after="156" w:afterLines="50"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4、提供整改咨询服务，根据所测系统的最终测评报告，对系统现状提出安全整改建议并协助整改工作，以期达到整改目的。</w:t>
      </w:r>
    </w:p>
    <w:p>
      <w:pPr>
        <w:pageBreakBefore w:val="0"/>
        <w:kinsoku/>
        <w:wordWrap/>
        <w:overflowPunct/>
        <w:topLinePunct w:val="0"/>
        <w:bidi w:val="0"/>
        <w:spacing w:before="156" w:beforeLines="50" w:after="156" w:afterLines="50" w:line="44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四、测评原则：</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1、客观性和公正性原则：</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测评人员应当没有偏见，在最小主观判断情形下，按照评估双方相互认可的评估方案，基于明确定义的测评方式和解释，实施评估活动。</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2、可重复性和可再现性原则：</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照同样的要求，使用同样的评估方式，对每个评估实施过程的重复执行应该得到同样的结果。可再现性和可重复性的区别在于，前者与不同评估者评估结果的一致性有关，后者与同一评估者评估结果的一致性有关。</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3、连续性原则：</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确保在高速变化的信息安全环境中，在有效的服务期间内，保证采购方风险评估结论的准确性和及时性，对于采购方单位新增设的信息资产和服务，或新建立的信息化项目，进行局部系统的重新评估。从经济上，降低了采购方单位的成本，从信息安全性上，保证信息安全测评的动态稳定性。</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4、扩展性原则：</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在评估过程结束后，信息安全测评过程要保持扩展性，从扩展的属性上进一步加强测评结束后采购方的安全管理有效性和可用性。</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5、保密原则：</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在测评过程中，需严格遵循保密原则，双方签订保密协议，对服务过程中涉及到的任何用户信息未经允许不向其他任何第三方泄漏，以及不得利用这些信息损害采购方利益。</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6、互动原则：</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在整个测评过程中，强调采购方的互动参与，每个阶段都能够及时根据采购方的要求和实际情况对测评的内容、方式做出相关调整，进而更好的进行风险评估工作。</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7、最小影响原则：</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测评工作应该尽可能小地影响系统和网络的正常运行，不能对业务的正常运行产生明显的影响（包括系统性能明显下降、网络阻塞、服务中断等），如无法避免，则应做出说明。</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8、规范性原则：</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网络安全等级保护测评服务的实施必须由专业的测评服务人员依照规范的操作流程进行，对操作过程和结果要有相应的记录，并提供完整的服务报告。</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9、质量保障原则：</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在整个测评过程中，须特别重视项目质量管理。项目的实施将严格按照项目实施方案和流程进行，并由项目协调小组从中监督，控制项目的进度和质量。</w:t>
      </w:r>
    </w:p>
    <w:p>
      <w:pPr>
        <w:pageBreakBefore w:val="0"/>
        <w:kinsoku/>
        <w:wordWrap/>
        <w:overflowPunct/>
        <w:topLinePunct w:val="0"/>
        <w:bidi w:val="0"/>
        <w:spacing w:before="156" w:beforeLines="50" w:after="156" w:afterLines="50" w:line="44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五、测评人员和时限要求：</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1、测评驻场人员要求：本次测评至少需要1名高级测评师，1名中级测评师， 2名初级测评师。本次等保测评项目不得转包或者分包，所有驻场测评师必须是中标公司自己的正式员工,所有驻场测评师必须持证上岗，响应文件中应提供项目组成员名单、社保主管部门出具的响应单位为其缴纳社保的证明、相关证书复印件等，未经采购方同意，项目组成员不得更改。</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2、测评时间要求：按照被测单位要求，合同签订完毕一周内启动测评工作。</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3、测评期限要求：签订合同后60天内完成网络安全等级保护测评并出具盖章报告，并完成备案。</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4、本项目不接受联合体投标。</w:t>
      </w:r>
    </w:p>
    <w:p>
      <w:pPr>
        <w:pageBreakBefore w:val="0"/>
        <w:widowControl/>
        <w:kinsoku/>
        <w:wordWrap/>
        <w:overflowPunct/>
        <w:topLinePunct w:val="0"/>
        <w:bidi w:val="0"/>
        <w:spacing w:line="440" w:lineRule="exact"/>
        <w:ind w:firstLine="482" w:firstLineChars="200"/>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六、服务地点</w:t>
      </w:r>
    </w:p>
    <w:p>
      <w:pPr>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kern w:val="0"/>
          <w:sz w:val="24"/>
          <w:szCs w:val="24"/>
          <w:highlight w:val="none"/>
        </w:rPr>
        <w:t>采购方</w:t>
      </w:r>
      <w:r>
        <w:rPr>
          <w:rFonts w:hint="eastAsia" w:ascii="宋体" w:hAnsi="宋体" w:eastAsia="宋体" w:cs="宋体"/>
          <w:color w:val="auto"/>
          <w:kern w:val="0"/>
          <w:sz w:val="24"/>
          <w:szCs w:val="24"/>
          <w:highlight w:val="none"/>
        </w:rPr>
        <w:t>指定地点。</w:t>
      </w:r>
    </w:p>
    <w:p>
      <w:pPr>
        <w:pageBreakBefore w:val="0"/>
        <w:widowControl/>
        <w:kinsoku/>
        <w:wordWrap/>
        <w:overflowPunct/>
        <w:topLinePunct w:val="0"/>
        <w:bidi w:val="0"/>
        <w:spacing w:line="440" w:lineRule="exact"/>
        <w:ind w:firstLine="482" w:firstLineChars="200"/>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七、付款时间和条件</w:t>
      </w:r>
    </w:p>
    <w:p>
      <w:pPr>
        <w:pStyle w:val="22"/>
        <w:pageBreakBefore w:val="0"/>
        <w:kinsoku/>
        <w:wordWrap/>
        <w:overflowPunct/>
        <w:topLinePunct w:val="0"/>
        <w:bidi w:val="0"/>
        <w:spacing w:line="44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本项目的测评费用,在提交测评报告的30个工作日内，由采购方一次性付清全款。</w:t>
      </w:r>
    </w:p>
    <w:p>
      <w:pPr>
        <w:pStyle w:val="5"/>
        <w:pageBreakBefore w:val="0"/>
        <w:kinsoku/>
        <w:wordWrap/>
        <w:overflowPunct/>
        <w:topLinePunct w:val="0"/>
        <w:bidi w:val="0"/>
        <w:spacing w:before="240" w:after="240" w:line="440" w:lineRule="exact"/>
        <w:jc w:val="center"/>
        <w:textAlignment w:val="auto"/>
        <w:rPr>
          <w:rFonts w:hint="eastAsia" w:ascii="宋体" w:hAnsi="宋体" w:eastAsia="宋体" w:cs="宋体"/>
          <w:color w:val="auto"/>
          <w:sz w:val="32"/>
          <w:szCs w:val="32"/>
          <w:highlight w:val="none"/>
        </w:rPr>
      </w:pPr>
      <w:bookmarkStart w:id="4" w:name="_Toc42779654"/>
    </w:p>
    <w:p>
      <w:pPr>
        <w:pStyle w:val="5"/>
        <w:pageBreakBefore w:val="0"/>
        <w:kinsoku/>
        <w:wordWrap/>
        <w:overflowPunct/>
        <w:topLinePunct w:val="0"/>
        <w:bidi w:val="0"/>
        <w:spacing w:before="240" w:after="240" w:line="440" w:lineRule="exact"/>
        <w:jc w:val="both"/>
        <w:textAlignment w:val="auto"/>
        <w:rPr>
          <w:rFonts w:hint="eastAsia" w:ascii="宋体" w:hAnsi="宋体" w:eastAsia="宋体" w:cs="宋体"/>
          <w:color w:val="auto"/>
          <w:sz w:val="32"/>
          <w:szCs w:val="32"/>
          <w:highlight w:val="none"/>
        </w:rPr>
      </w:pPr>
    </w:p>
    <w:p>
      <w:pPr>
        <w:rPr>
          <w:rFonts w:hint="eastAsia"/>
          <w:color w:val="auto"/>
        </w:rPr>
      </w:pPr>
    </w:p>
    <w:p>
      <w:pPr>
        <w:pStyle w:val="5"/>
        <w:pageBreakBefore w:val="0"/>
        <w:kinsoku/>
        <w:wordWrap/>
        <w:overflowPunct/>
        <w:topLinePunct w:val="0"/>
        <w:bidi w:val="0"/>
        <w:spacing w:before="240" w:after="240" w:line="440" w:lineRule="exact"/>
        <w:jc w:val="both"/>
        <w:textAlignment w:val="auto"/>
        <w:rPr>
          <w:rFonts w:hint="eastAsia" w:ascii="宋体" w:hAnsi="宋体" w:eastAsia="宋体" w:cs="宋体"/>
          <w:color w:val="auto"/>
          <w:sz w:val="32"/>
          <w:szCs w:val="32"/>
          <w:highlight w:val="none"/>
        </w:rPr>
      </w:pPr>
    </w:p>
    <w:p>
      <w:pPr>
        <w:rPr>
          <w:rFonts w:hint="eastAsia" w:ascii="宋体" w:hAnsi="宋体" w:eastAsia="宋体" w:cs="宋体"/>
          <w:color w:val="auto"/>
          <w:highlight w:val="none"/>
          <w:lang w:val="en-US" w:eastAsia="zh-CN"/>
        </w:rPr>
      </w:pPr>
      <w:r>
        <w:rPr>
          <w:rFonts w:hint="eastAsia" w:ascii="宋体" w:hAnsi="宋体" w:eastAsia="宋体" w:cs="宋体"/>
          <w:color w:val="auto"/>
          <w:sz w:val="32"/>
          <w:szCs w:val="32"/>
          <w:highlight w:val="none"/>
          <w:lang w:val="en-US" w:eastAsia="zh-CN"/>
        </w:rPr>
        <w:t xml:space="preserve">  </w:t>
      </w:r>
    </w:p>
    <w:p>
      <w:pPr>
        <w:pStyle w:val="5"/>
        <w:pageBreakBefore w:val="0"/>
        <w:kinsoku/>
        <w:wordWrap/>
        <w:overflowPunct/>
        <w:topLinePunct w:val="0"/>
        <w:bidi w:val="0"/>
        <w:spacing w:before="240" w:after="240" w:line="440" w:lineRule="exact"/>
        <w:ind w:firstLine="2891" w:firstLineChars="9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w:t>
      </w:r>
      <w:r>
        <w:rPr>
          <w:rFonts w:hint="eastAsia" w:ascii="宋体" w:hAnsi="宋体" w:eastAsia="宋体" w:cs="宋体"/>
          <w:color w:val="auto"/>
          <w:sz w:val="32"/>
          <w:szCs w:val="32"/>
          <w:highlight w:val="none"/>
          <w:lang w:val="en-US" w:eastAsia="zh-CN"/>
        </w:rPr>
        <w:t xml:space="preserve">四部分  </w:t>
      </w:r>
      <w:bookmarkEnd w:id="4"/>
      <w:r>
        <w:rPr>
          <w:rFonts w:hint="eastAsia" w:ascii="宋体" w:hAnsi="宋体" w:eastAsia="宋体" w:cs="宋体"/>
          <w:color w:val="auto"/>
          <w:sz w:val="32"/>
          <w:szCs w:val="32"/>
          <w:highlight w:val="none"/>
          <w:lang w:val="zh-CN"/>
        </w:rPr>
        <w:t>磋商评审程序和内容</w:t>
      </w:r>
    </w:p>
    <w:p>
      <w:pPr>
        <w:keepNext w:val="0"/>
        <w:keepLines w:val="0"/>
        <w:pageBreakBefore w:val="0"/>
        <w:tabs>
          <w:tab w:val="left" w:pos="3585"/>
        </w:tabs>
        <w:kinsoku/>
        <w:wordWrap/>
        <w:overflowPunct/>
        <w:topLinePunct w:val="0"/>
        <w:bidi w:val="0"/>
        <w:snapToGrid w:val="0"/>
        <w:spacing w:before="156" w:beforeLines="50" w:after="156" w:afterLines="50" w:line="420" w:lineRule="exact"/>
        <w:ind w:firstLine="472" w:firstLineChars="196"/>
        <w:jc w:val="left"/>
        <w:textAlignment w:val="auto"/>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一、</w:t>
      </w:r>
      <w:r>
        <w:rPr>
          <w:rFonts w:hint="eastAsia" w:ascii="宋体" w:hAnsi="宋体" w:eastAsia="宋体" w:cs="宋体"/>
          <w:b/>
          <w:color w:val="auto"/>
          <w:sz w:val="24"/>
          <w:szCs w:val="24"/>
          <w:highlight w:val="none"/>
        </w:rPr>
        <w:t>招标人组织开标</w:t>
      </w:r>
    </w:p>
    <w:p>
      <w:pPr>
        <w:keepNext w:val="0"/>
        <w:keepLines w:val="0"/>
        <w:pageBreakBefore w:val="0"/>
        <w:kinsoku/>
        <w:wordWrap/>
        <w:overflowPunct/>
        <w:topLinePunct w:val="0"/>
        <w:bidi w:val="0"/>
        <w:snapToGrid w:val="0"/>
        <w:spacing w:line="42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投标人的法定代表人或授权人须持有效身份证参加开标会。</w:t>
      </w:r>
    </w:p>
    <w:p>
      <w:pPr>
        <w:keepNext w:val="0"/>
        <w:keepLines w:val="0"/>
        <w:pageBreakBefore w:val="0"/>
        <w:tabs>
          <w:tab w:val="left" w:pos="3585"/>
        </w:tabs>
        <w:kinsoku/>
        <w:wordWrap/>
        <w:overflowPunct/>
        <w:topLinePunct w:val="0"/>
        <w:bidi w:val="0"/>
        <w:snapToGrid w:val="0"/>
        <w:spacing w:before="156" w:beforeLines="50" w:after="156" w:afterLines="50" w:line="420" w:lineRule="exact"/>
        <w:ind w:firstLine="472" w:firstLineChars="196"/>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二、评委会的组成</w:t>
      </w:r>
    </w:p>
    <w:p>
      <w:pPr>
        <w:keepNext w:val="0"/>
        <w:keepLines w:val="0"/>
        <w:pageBreakBefore w:val="0"/>
        <w:kinsoku/>
        <w:wordWrap/>
        <w:overflowPunct/>
        <w:topLinePunct w:val="0"/>
        <w:bidi w:val="0"/>
        <w:snapToGrid w:val="0"/>
        <w:spacing w:line="42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评委会由</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代表和委托的专家共5人以上单数组成，对投标文件进行审查、质疑、评估、比较。评委会按照公平、公正、择优的原则进行独立评标。</w:t>
      </w:r>
    </w:p>
    <w:p>
      <w:pPr>
        <w:keepNext w:val="0"/>
        <w:keepLines w:val="0"/>
        <w:pageBreakBefore w:val="0"/>
        <w:kinsoku/>
        <w:wordWrap/>
        <w:overflowPunct/>
        <w:topLinePunct w:val="0"/>
        <w:bidi w:val="0"/>
        <w:snapToGrid w:val="0"/>
        <w:spacing w:line="420" w:lineRule="exact"/>
        <w:ind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（一）评审内容</w:t>
      </w:r>
    </w:p>
    <w:p>
      <w:pPr>
        <w:keepNext w:val="0"/>
        <w:keepLines w:val="0"/>
        <w:pageBreakBefore w:val="0"/>
        <w:kinsoku/>
        <w:wordWrap/>
        <w:overflowPunct/>
        <w:topLinePunct w:val="0"/>
        <w:bidi w:val="0"/>
        <w:snapToGrid w:val="0"/>
        <w:spacing w:line="420" w:lineRule="exact"/>
        <w:ind w:firstLine="470" w:firstLineChars="196"/>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1、投标人投标资格；</w:t>
      </w:r>
    </w:p>
    <w:p>
      <w:pPr>
        <w:keepNext w:val="0"/>
        <w:keepLines w:val="0"/>
        <w:pageBreakBefore w:val="0"/>
        <w:kinsoku/>
        <w:wordWrap/>
        <w:overflowPunct/>
        <w:topLinePunct w:val="0"/>
        <w:bidi w:val="0"/>
        <w:snapToGrid w:val="0"/>
        <w:spacing w:line="42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2、要求的保证金是否已提供；</w:t>
      </w:r>
    </w:p>
    <w:p>
      <w:pPr>
        <w:keepNext w:val="0"/>
        <w:keepLines w:val="0"/>
        <w:pageBreakBefore w:val="0"/>
        <w:kinsoku/>
        <w:wordWrap/>
        <w:overflowPunct/>
        <w:topLinePunct w:val="0"/>
        <w:bidi w:val="0"/>
        <w:snapToGrid w:val="0"/>
        <w:spacing w:line="42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3、投标文件是否完整；</w:t>
      </w:r>
    </w:p>
    <w:p>
      <w:pPr>
        <w:keepNext w:val="0"/>
        <w:keepLines w:val="0"/>
        <w:pageBreakBefore w:val="0"/>
        <w:kinsoku/>
        <w:wordWrap/>
        <w:overflowPunct/>
        <w:topLinePunct w:val="0"/>
        <w:bidi w:val="0"/>
        <w:snapToGrid w:val="0"/>
        <w:spacing w:line="42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4、投标文件是否恰当地签署；</w:t>
      </w:r>
    </w:p>
    <w:p>
      <w:pPr>
        <w:keepNext w:val="0"/>
        <w:keepLines w:val="0"/>
        <w:pageBreakBefore w:val="0"/>
        <w:kinsoku/>
        <w:wordWrap/>
        <w:overflowPunct/>
        <w:topLinePunct w:val="0"/>
        <w:bidi w:val="0"/>
        <w:snapToGrid w:val="0"/>
        <w:spacing w:line="420" w:lineRule="exact"/>
        <w:ind w:firstLine="480"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5、是否作出实质性响应</w:t>
      </w:r>
      <w:r>
        <w:rPr>
          <w:rFonts w:hint="eastAsia" w:ascii="宋体" w:hAnsi="宋体" w:eastAsia="宋体" w:cs="宋体"/>
          <w:b/>
          <w:color w:val="auto"/>
          <w:sz w:val="24"/>
          <w:szCs w:val="24"/>
          <w:highlight w:val="none"/>
        </w:rPr>
        <w:t>;</w:t>
      </w:r>
    </w:p>
    <w:p>
      <w:pPr>
        <w:keepNext w:val="0"/>
        <w:keepLines w:val="0"/>
        <w:pageBreakBefore w:val="0"/>
        <w:kinsoku/>
        <w:wordWrap/>
        <w:overflowPunct/>
        <w:topLinePunct w:val="0"/>
        <w:bidi w:val="0"/>
        <w:snapToGrid w:val="0"/>
        <w:spacing w:line="42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6、是否有计算错误。</w:t>
      </w:r>
    </w:p>
    <w:p>
      <w:pPr>
        <w:keepNext w:val="0"/>
        <w:keepLines w:val="0"/>
        <w:pageBreakBefore w:val="0"/>
        <w:kinsoku/>
        <w:wordWrap/>
        <w:overflowPunct/>
        <w:topLinePunct w:val="0"/>
        <w:bidi w:val="0"/>
        <w:snapToGrid w:val="0"/>
        <w:spacing w:line="420" w:lineRule="exact"/>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（二）相应的规定</w:t>
      </w:r>
    </w:p>
    <w:p>
      <w:pPr>
        <w:keepNext w:val="0"/>
        <w:keepLines w:val="0"/>
        <w:pageBreakBefore w:val="0"/>
        <w:kinsoku/>
        <w:wordWrap/>
        <w:overflowPunct/>
        <w:topLinePunct w:val="0"/>
        <w:bidi w:val="0"/>
        <w:snapToGrid w:val="0"/>
        <w:spacing w:line="42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color w:val="auto"/>
          <w:sz w:val="24"/>
          <w:szCs w:val="24"/>
          <w:highlight w:val="none"/>
        </w:rPr>
        <w:t>如果单价汇总金额与总价金额有出入，以单价金额计算结果为准；</w:t>
      </w:r>
    </w:p>
    <w:p>
      <w:pPr>
        <w:keepNext w:val="0"/>
        <w:keepLines w:val="0"/>
        <w:pageBreakBefore w:val="0"/>
        <w:kinsoku/>
        <w:wordWrap/>
        <w:overflowPunct/>
        <w:topLinePunct w:val="0"/>
        <w:bidi w:val="0"/>
        <w:snapToGrid w:val="0"/>
        <w:spacing w:line="42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2、单价金额小数点有明显错位的，应以总价为准；</w:t>
      </w:r>
    </w:p>
    <w:p>
      <w:pPr>
        <w:keepNext w:val="0"/>
        <w:keepLines w:val="0"/>
        <w:pageBreakBefore w:val="0"/>
        <w:kinsoku/>
        <w:wordWrap/>
        <w:overflowPunct/>
        <w:topLinePunct w:val="0"/>
        <w:bidi w:val="0"/>
        <w:snapToGrid w:val="0"/>
        <w:spacing w:line="42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3、正本与副本有矛盾的，以正本为准；</w:t>
      </w:r>
    </w:p>
    <w:p>
      <w:pPr>
        <w:keepNext w:val="0"/>
        <w:keepLines w:val="0"/>
        <w:pageBreakBefore w:val="0"/>
        <w:kinsoku/>
        <w:wordWrap/>
        <w:overflowPunct/>
        <w:topLinePunct w:val="0"/>
        <w:bidi w:val="0"/>
        <w:snapToGrid w:val="0"/>
        <w:spacing w:line="42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4、若文件大写表示的数据与数字表示的有差别，以大写表示的数据为准。</w:t>
      </w:r>
    </w:p>
    <w:p>
      <w:pPr>
        <w:keepNext w:val="0"/>
        <w:keepLines w:val="0"/>
        <w:pageBreakBefore w:val="0"/>
        <w:tabs>
          <w:tab w:val="left" w:pos="3585"/>
        </w:tabs>
        <w:kinsoku/>
        <w:wordWrap/>
        <w:overflowPunct/>
        <w:topLinePunct w:val="0"/>
        <w:bidi w:val="0"/>
        <w:snapToGrid w:val="0"/>
        <w:spacing w:before="156" w:beforeLines="50" w:after="156" w:afterLines="50" w:line="420" w:lineRule="exact"/>
        <w:ind w:firstLine="472" w:firstLineChars="196"/>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三、陈述、演示、答疑、澄清</w:t>
      </w:r>
    </w:p>
    <w:p>
      <w:pPr>
        <w:keepNext w:val="0"/>
        <w:keepLines w:val="0"/>
        <w:pageBreakBefore w:val="0"/>
        <w:kinsoku/>
        <w:wordWrap/>
        <w:overflowPunct/>
        <w:topLinePunct w:val="0"/>
        <w:bidi w:val="0"/>
        <w:snapToGrid w:val="0"/>
        <w:spacing w:line="420" w:lineRule="exact"/>
        <w:ind w:firstLine="480"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shd w:val="clear" w:color="auto" w:fill="FFFFFF"/>
        </w:rPr>
        <w:t>如评委会认为有必要，投标人按评委会的要求作陈述、演示、</w:t>
      </w:r>
      <w:r>
        <w:rPr>
          <w:rFonts w:hint="eastAsia" w:ascii="宋体" w:hAnsi="宋体" w:eastAsia="宋体" w:cs="宋体"/>
          <w:color w:val="auto"/>
          <w:sz w:val="24"/>
          <w:szCs w:val="24"/>
          <w:highlight w:val="none"/>
        </w:rPr>
        <w:t>答疑及澄清其投标内容。时间由</w:t>
      </w:r>
      <w:r>
        <w:rPr>
          <w:rFonts w:hint="eastAsia" w:ascii="宋体" w:hAnsi="宋体" w:eastAsia="宋体" w:cs="宋体"/>
          <w:color w:val="auto"/>
          <w:sz w:val="24"/>
          <w:szCs w:val="24"/>
          <w:highlight w:val="none"/>
          <w:shd w:val="clear" w:color="auto" w:fill="FFFFFF"/>
        </w:rPr>
        <w:t>评委会</w:t>
      </w:r>
      <w:r>
        <w:rPr>
          <w:rFonts w:hint="eastAsia" w:ascii="宋体" w:hAnsi="宋体" w:eastAsia="宋体" w:cs="宋体"/>
          <w:color w:val="auto"/>
          <w:sz w:val="24"/>
          <w:szCs w:val="24"/>
          <w:highlight w:val="none"/>
        </w:rPr>
        <w:t>掌握。</w:t>
      </w:r>
    </w:p>
    <w:p>
      <w:pPr>
        <w:keepNext w:val="0"/>
        <w:keepLines w:val="0"/>
        <w:pageBreakBefore w:val="0"/>
        <w:kinsoku/>
        <w:wordWrap/>
        <w:overflowPunct/>
        <w:topLinePunct w:val="0"/>
        <w:bidi w:val="0"/>
        <w:snapToGrid w:val="0"/>
        <w:spacing w:line="42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重要澄清答复应是书面的，但不得对投标内容进行实质性修改。</w:t>
      </w:r>
    </w:p>
    <w:p>
      <w:pPr>
        <w:keepNext w:val="0"/>
        <w:keepLines w:val="0"/>
        <w:pageBreakBefore w:val="0"/>
        <w:tabs>
          <w:tab w:val="left" w:pos="3585"/>
        </w:tabs>
        <w:kinsoku/>
        <w:wordWrap/>
        <w:overflowPunct/>
        <w:topLinePunct w:val="0"/>
        <w:bidi w:val="0"/>
        <w:snapToGrid w:val="0"/>
        <w:spacing w:before="156" w:beforeLines="50" w:after="156" w:afterLines="50" w:line="420" w:lineRule="exact"/>
        <w:ind w:firstLine="472" w:firstLineChars="196"/>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四、出现下列情形之一的，作无效投标处理</w:t>
      </w:r>
    </w:p>
    <w:p>
      <w:pPr>
        <w:keepNext w:val="0"/>
        <w:keepLines w:val="0"/>
        <w:pageBreakBefore w:val="0"/>
        <w:kinsoku/>
        <w:wordWrap/>
        <w:overflowPunct/>
        <w:topLinePunct w:val="0"/>
        <w:bidi w:val="0"/>
        <w:snapToGrid w:val="0"/>
        <w:spacing w:line="42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1、未按照招标文件规定要求装订、标记、密封、签署、盖章的；</w:t>
      </w:r>
    </w:p>
    <w:p>
      <w:pPr>
        <w:keepNext w:val="0"/>
        <w:keepLines w:val="0"/>
        <w:pageBreakBefore w:val="0"/>
        <w:kinsoku/>
        <w:wordWrap/>
        <w:overflowPunct/>
        <w:topLinePunct w:val="0"/>
        <w:bidi w:val="0"/>
        <w:snapToGrid w:val="0"/>
        <w:spacing w:line="42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2、不具备招标文件中规定的技术规格参数要求的；</w:t>
      </w:r>
    </w:p>
    <w:p>
      <w:pPr>
        <w:keepNext w:val="0"/>
        <w:keepLines w:val="0"/>
        <w:pageBreakBefore w:val="0"/>
        <w:kinsoku/>
        <w:wordWrap/>
        <w:overflowPunct/>
        <w:topLinePunct w:val="0"/>
        <w:bidi w:val="0"/>
        <w:snapToGrid w:val="0"/>
        <w:spacing w:line="42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3、不符合法律、法规和招标文件中规定的其他实质性要求的。</w:t>
      </w:r>
    </w:p>
    <w:p>
      <w:pPr>
        <w:keepNext w:val="0"/>
        <w:keepLines w:val="0"/>
        <w:pageBreakBefore w:val="0"/>
        <w:tabs>
          <w:tab w:val="left" w:pos="3585"/>
        </w:tabs>
        <w:kinsoku/>
        <w:wordWrap/>
        <w:overflowPunct/>
        <w:topLinePunct w:val="0"/>
        <w:bidi w:val="0"/>
        <w:snapToGrid w:val="0"/>
        <w:spacing w:before="156" w:beforeLines="50" w:after="156" w:afterLines="50" w:line="420" w:lineRule="exact"/>
        <w:ind w:firstLine="472" w:firstLineChars="196"/>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五、出现下列情形之一的，作废标处理</w:t>
      </w:r>
    </w:p>
    <w:p>
      <w:pPr>
        <w:keepNext w:val="0"/>
        <w:keepLines w:val="0"/>
        <w:pageBreakBefore w:val="0"/>
        <w:kinsoku/>
        <w:wordWrap/>
        <w:overflowPunct/>
        <w:topLinePunct w:val="0"/>
        <w:bidi w:val="0"/>
        <w:snapToGrid w:val="0"/>
        <w:spacing w:line="42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1、出现影响采购公正的违法违规行为的；</w:t>
      </w:r>
    </w:p>
    <w:p>
      <w:pPr>
        <w:keepNext w:val="0"/>
        <w:keepLines w:val="0"/>
        <w:pageBreakBefore w:val="0"/>
        <w:kinsoku/>
        <w:wordWrap/>
        <w:overflowPunct/>
        <w:topLinePunct w:val="0"/>
        <w:bidi w:val="0"/>
        <w:snapToGrid w:val="0"/>
        <w:spacing w:line="42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2、投标人的报价均超过了采购预算，采购人不能支付的；</w:t>
      </w:r>
    </w:p>
    <w:p>
      <w:pPr>
        <w:keepNext w:val="0"/>
        <w:keepLines w:val="0"/>
        <w:pageBreakBefore w:val="0"/>
        <w:kinsoku/>
        <w:wordWrap/>
        <w:overflowPunct/>
        <w:topLinePunct w:val="0"/>
        <w:bidi w:val="0"/>
        <w:snapToGrid w:val="0"/>
        <w:spacing w:line="42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3、因重大变故，采购任务取消的。</w:t>
      </w:r>
    </w:p>
    <w:p>
      <w:pPr>
        <w:keepNext w:val="0"/>
        <w:keepLines w:val="0"/>
        <w:pageBreakBefore w:val="0"/>
        <w:kinsoku/>
        <w:wordWrap/>
        <w:overflowPunct/>
        <w:topLinePunct w:val="0"/>
        <w:bidi w:val="0"/>
        <w:snapToGrid w:val="0"/>
        <w:spacing w:line="42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上述均保留</w:t>
      </w:r>
      <w:r>
        <w:rPr>
          <w:rFonts w:hint="eastAsia" w:ascii="宋体" w:hAnsi="宋体" w:eastAsia="宋体" w:cs="宋体"/>
          <w:color w:val="auto"/>
          <w:sz w:val="24"/>
          <w:szCs w:val="24"/>
          <w:highlight w:val="none"/>
          <w:shd w:val="clear" w:color="auto" w:fill="FFFFFF"/>
        </w:rPr>
        <w:t>评委会</w:t>
      </w:r>
      <w:r>
        <w:rPr>
          <w:rFonts w:hint="eastAsia" w:ascii="宋体" w:hAnsi="宋体" w:eastAsia="宋体" w:cs="宋体"/>
          <w:color w:val="auto"/>
          <w:sz w:val="24"/>
          <w:szCs w:val="24"/>
          <w:highlight w:val="none"/>
        </w:rPr>
        <w:t>认定可以确定为无效投标或废标的其他情况。</w:t>
      </w:r>
    </w:p>
    <w:p>
      <w:pPr>
        <w:keepNext w:val="0"/>
        <w:keepLines w:val="0"/>
        <w:pageBreakBefore w:val="0"/>
        <w:tabs>
          <w:tab w:val="left" w:pos="3585"/>
        </w:tabs>
        <w:kinsoku/>
        <w:wordWrap/>
        <w:overflowPunct/>
        <w:topLinePunct w:val="0"/>
        <w:bidi w:val="0"/>
        <w:snapToGrid w:val="0"/>
        <w:spacing w:before="156" w:beforeLines="50" w:after="156" w:afterLines="50" w:line="420" w:lineRule="exact"/>
        <w:ind w:firstLine="472" w:firstLineChars="196"/>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六、变更为其他方式采购的情形</w:t>
      </w:r>
    </w:p>
    <w:p>
      <w:pPr>
        <w:keepNext w:val="0"/>
        <w:keepLines w:val="0"/>
        <w:pageBreakBefore w:val="0"/>
        <w:kinsoku/>
        <w:wordWrap/>
        <w:overflowPunct/>
        <w:topLinePunct w:val="0"/>
        <w:bidi w:val="0"/>
        <w:snapToGrid w:val="0"/>
        <w:spacing w:line="42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提交响应文件截止时间时参加磋商的供应商不足2家的，</w:t>
      </w:r>
      <w:r>
        <w:rPr>
          <w:rFonts w:hint="eastAsia" w:ascii="宋体" w:hAnsi="宋体" w:cs="宋体"/>
          <w:color w:val="auto"/>
          <w:kern w:val="0"/>
          <w:sz w:val="24"/>
          <w:szCs w:val="24"/>
          <w:highlight w:val="none"/>
          <w:lang w:val="en-US" w:eastAsia="zh-CN"/>
        </w:rPr>
        <w:t>采购人终止竞争性磋商采购活动，发布项目终止公告并说明原因，重新开展采购活动。</w:t>
      </w:r>
    </w:p>
    <w:p>
      <w:pPr>
        <w:keepNext w:val="0"/>
        <w:keepLines w:val="0"/>
        <w:pageBreakBefore w:val="0"/>
        <w:numPr>
          <w:ilvl w:val="0"/>
          <w:numId w:val="0"/>
        </w:numPr>
        <w:kinsoku/>
        <w:wordWrap/>
        <w:overflowPunct/>
        <w:topLinePunct w:val="0"/>
        <w:autoSpaceDE w:val="0"/>
        <w:autoSpaceDN w:val="0"/>
        <w:bidi w:val="0"/>
        <w:snapToGrid w:val="0"/>
        <w:spacing w:line="420" w:lineRule="exact"/>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七、</w:t>
      </w:r>
      <w:r>
        <w:rPr>
          <w:rFonts w:hint="eastAsia" w:ascii="宋体" w:hAnsi="宋体" w:eastAsia="宋体" w:cs="宋体"/>
          <w:b/>
          <w:bCs/>
          <w:color w:val="auto"/>
          <w:sz w:val="24"/>
          <w:szCs w:val="24"/>
          <w:highlight w:val="none"/>
        </w:rPr>
        <w:t>评分标准</w:t>
      </w:r>
    </w:p>
    <w:p>
      <w:pPr>
        <w:keepNext w:val="0"/>
        <w:keepLines w:val="0"/>
        <w:pageBreakBefore w:val="0"/>
        <w:kinsoku/>
        <w:wordWrap/>
        <w:overflowPunct/>
        <w:topLinePunct w:val="0"/>
        <w:bidi w:val="0"/>
        <w:spacing w:line="42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综合评分法，按照供应商资质、技术能力、服务能力和报价均能满足采购招标需求要求且综合评分最高的为中标第一候选人，如得分有相同的，则技术商务分高的单位排名在前，如技术商务分得分也相同，则通过抽签方式确定排序。若中标单位放弃资格，由中标第二候选人单位中标，以此类推。</w:t>
      </w:r>
    </w:p>
    <w:p>
      <w:pPr>
        <w:keepNext w:val="0"/>
        <w:keepLines w:val="0"/>
        <w:pageBreakBefore w:val="0"/>
        <w:kinsoku/>
        <w:wordWrap/>
        <w:overflowPunct/>
        <w:topLinePunct w:val="0"/>
        <w:bidi w:val="0"/>
        <w:spacing w:line="42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采购人首先对供应商资格审查通过后，磋商小组按照下列指标对各竞标人进行符合性审查，未通过审查的为无效标，不再参与评审。</w:t>
      </w:r>
    </w:p>
    <w:p>
      <w:pPr>
        <w:keepNext w:val="0"/>
        <w:keepLines w:val="0"/>
        <w:pageBreakBefore w:val="0"/>
        <w:kinsoku/>
        <w:wordWrap/>
        <w:overflowPunct/>
        <w:topLinePunct w:val="0"/>
        <w:bidi w:val="0"/>
        <w:snapToGrid w:val="0"/>
        <w:spacing w:line="420" w:lineRule="exact"/>
        <w:ind w:firstLine="55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商务技术部分评审结束后，再开启最后报价计算分值。总分值为100分，加分和减分因素除外。</w:t>
      </w:r>
    </w:p>
    <w:p>
      <w:pPr>
        <w:keepNext w:val="0"/>
        <w:keepLines w:val="0"/>
        <w:pageBreakBefore w:val="0"/>
        <w:kinsoku/>
        <w:wordWrap/>
        <w:overflowPunct/>
        <w:topLinePunct w:val="0"/>
        <w:bidi w:val="0"/>
        <w:snapToGrid w:val="0"/>
        <w:spacing w:line="420" w:lineRule="exact"/>
        <w:ind w:firstLine="55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磋商小组由5人或以上单数组成，供应商投标得分为磋商小组所有评审成员的平均分。</w:t>
      </w:r>
    </w:p>
    <w:p>
      <w:pPr>
        <w:keepNext w:val="0"/>
        <w:keepLines w:val="0"/>
        <w:pageBreakBefore w:val="0"/>
        <w:kinsoku/>
        <w:wordWrap/>
        <w:overflowPunct/>
        <w:topLinePunct w:val="0"/>
        <w:bidi w:val="0"/>
        <w:spacing w:line="420" w:lineRule="exact"/>
        <w:ind w:firstLine="422" w:firstLineChars="2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（一）资格审查因数：</w:t>
      </w:r>
    </w:p>
    <w:tbl>
      <w:tblPr>
        <w:tblStyle w:val="18"/>
        <w:tblW w:w="4738" w:type="pct"/>
        <w:tblInd w:w="32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1314"/>
        <w:gridCol w:w="4801"/>
        <w:gridCol w:w="2764"/>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443" w:type="pct"/>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审查评审因素</w:t>
            </w:r>
          </w:p>
        </w:tc>
        <w:tc>
          <w:tcPr>
            <w:tcW w:w="155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740" w:type="pct"/>
            <w:vMerge w:val="restar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资格审查</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评审因素</w:t>
            </w:r>
          </w:p>
        </w:tc>
        <w:tc>
          <w:tcPr>
            <w:tcW w:w="270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法人或者其他组织的营业执照等证明文件，自然人身份证明</w:t>
            </w:r>
          </w:p>
        </w:tc>
        <w:tc>
          <w:tcPr>
            <w:tcW w:w="155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合法有效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740" w:type="pct"/>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p>
        </w:tc>
        <w:tc>
          <w:tcPr>
            <w:tcW w:w="270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法人身份证明或法人授权委托书</w:t>
            </w:r>
          </w:p>
        </w:tc>
        <w:tc>
          <w:tcPr>
            <w:tcW w:w="155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符合磋商文件要求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740" w:type="pct"/>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p>
        </w:tc>
        <w:tc>
          <w:tcPr>
            <w:tcW w:w="270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上一年度的</w:t>
            </w:r>
            <w:r>
              <w:rPr>
                <w:rFonts w:hint="eastAsia" w:ascii="宋体" w:hAnsi="宋体" w:eastAsia="宋体" w:cs="宋体"/>
                <w:color w:val="auto"/>
                <w:sz w:val="21"/>
                <w:szCs w:val="21"/>
                <w:highlight w:val="none"/>
              </w:rPr>
              <w:t>财务状况报告，依法缴纳税收和社会保障资金的相关材料</w:t>
            </w:r>
          </w:p>
        </w:tc>
        <w:tc>
          <w:tcPr>
            <w:tcW w:w="155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符合磋商文件要求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740" w:type="pct"/>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p>
        </w:tc>
        <w:tc>
          <w:tcPr>
            <w:tcW w:w="270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具备履行合同所必需的设备和专业技术能力的证明材料</w:t>
            </w:r>
          </w:p>
        </w:tc>
        <w:tc>
          <w:tcPr>
            <w:tcW w:w="155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符合磋商文件要求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740" w:type="pct"/>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p>
        </w:tc>
        <w:tc>
          <w:tcPr>
            <w:tcW w:w="270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参加政府采购活动前三年内，在经营活动中没有重大违法记录书面声明</w:t>
            </w:r>
          </w:p>
        </w:tc>
        <w:tc>
          <w:tcPr>
            <w:tcW w:w="155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符合磋商文件要求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740" w:type="pct"/>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p>
        </w:tc>
        <w:tc>
          <w:tcPr>
            <w:tcW w:w="270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磋商报价密封袋</w:t>
            </w:r>
          </w:p>
        </w:tc>
        <w:tc>
          <w:tcPr>
            <w:tcW w:w="155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符合磋商文件要求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740" w:type="pct"/>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p>
        </w:tc>
        <w:tc>
          <w:tcPr>
            <w:tcW w:w="270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原件包</w:t>
            </w:r>
          </w:p>
        </w:tc>
        <w:tc>
          <w:tcPr>
            <w:tcW w:w="155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符合磋商文件要求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740" w:type="pct"/>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p>
        </w:tc>
        <w:tc>
          <w:tcPr>
            <w:tcW w:w="270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供应商信用信息在信用中国、信用江苏、南通、天眼查等查询查证</w:t>
            </w:r>
          </w:p>
        </w:tc>
        <w:tc>
          <w:tcPr>
            <w:tcW w:w="155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符合政府采购活动相关要求。截止时间点为提交相应文件时点。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740" w:type="pct"/>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p>
        </w:tc>
        <w:tc>
          <w:tcPr>
            <w:tcW w:w="270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具备在有效期内的国家部委或江苏省网络信息安全等级保护评估中心颁发的《网络安全等级保护测评机构推荐证书》</w:t>
            </w:r>
          </w:p>
        </w:tc>
        <w:tc>
          <w:tcPr>
            <w:tcW w:w="155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符合磋商文件其他要求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74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p>
        </w:tc>
        <w:tc>
          <w:tcPr>
            <w:tcW w:w="270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w:t>
            </w:r>
          </w:p>
        </w:tc>
        <w:tc>
          <w:tcPr>
            <w:tcW w:w="155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符合磋商文件其他要求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74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p>
        </w:tc>
        <w:tc>
          <w:tcPr>
            <w:tcW w:w="270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符合性审查</w:t>
            </w:r>
          </w:p>
        </w:tc>
        <w:tc>
          <w:tcPr>
            <w:tcW w:w="155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符合磋商文件商务技术服务要求</w:t>
            </w:r>
          </w:p>
        </w:tc>
      </w:tr>
    </w:tbl>
    <w:p>
      <w:pPr>
        <w:keepNext w:val="0"/>
        <w:keepLines w:val="0"/>
        <w:pageBreakBefore w:val="0"/>
        <w:kinsoku/>
        <w:wordWrap/>
        <w:overflowPunct/>
        <w:topLinePunct w:val="0"/>
        <w:bidi w:val="0"/>
        <w:snapToGrid w:val="0"/>
        <w:spacing w:line="420" w:lineRule="exact"/>
        <w:jc w:val="left"/>
        <w:textAlignment w:val="auto"/>
        <w:rPr>
          <w:rFonts w:hint="eastAsia" w:ascii="宋体" w:hAnsi="宋体" w:eastAsia="宋体" w:cs="宋体"/>
          <w:b/>
          <w:color w:val="auto"/>
          <w:sz w:val="21"/>
          <w:szCs w:val="21"/>
          <w:highlight w:val="none"/>
        </w:rPr>
      </w:pPr>
    </w:p>
    <w:p>
      <w:pPr>
        <w:keepNext w:val="0"/>
        <w:keepLines w:val="0"/>
        <w:pageBreakBefore w:val="0"/>
        <w:kinsoku/>
        <w:wordWrap/>
        <w:overflowPunct/>
        <w:topLinePunct w:val="0"/>
        <w:bidi w:val="0"/>
        <w:snapToGrid w:val="0"/>
        <w:spacing w:line="420" w:lineRule="exact"/>
        <w:ind w:left="2" w:firstLine="422" w:firstLineChars="200"/>
        <w:jc w:val="left"/>
        <w:textAlignment w:val="auto"/>
        <w:rPr>
          <w:rFonts w:hint="eastAsia" w:ascii="宋体" w:hAnsi="宋体" w:eastAsia="宋体" w:cs="宋体"/>
          <w:b/>
          <w:bCs w:val="0"/>
          <w:color w:val="auto"/>
          <w:sz w:val="21"/>
          <w:szCs w:val="21"/>
          <w:highlight w:val="none"/>
        </w:rPr>
      </w:pPr>
      <w:r>
        <w:rPr>
          <w:rFonts w:hint="eastAsia" w:ascii="宋体" w:hAnsi="宋体" w:eastAsia="宋体" w:cs="宋体"/>
          <w:b/>
          <w:color w:val="auto"/>
          <w:sz w:val="21"/>
          <w:szCs w:val="21"/>
          <w:highlight w:val="none"/>
        </w:rPr>
        <w:t xml:space="preserve"> </w:t>
      </w:r>
      <w:r>
        <w:rPr>
          <w:rFonts w:hint="eastAsia" w:ascii="宋体" w:hAnsi="宋体" w:eastAsia="宋体" w:cs="宋体"/>
          <w:b/>
          <w:bCs w:val="0"/>
          <w:color w:val="auto"/>
          <w:sz w:val="21"/>
          <w:szCs w:val="21"/>
          <w:highlight w:val="none"/>
          <w:lang w:val="zh-CN"/>
        </w:rPr>
        <w:t>(二)商务技术分：70 分</w:t>
      </w:r>
    </w:p>
    <w:tbl>
      <w:tblPr>
        <w:tblStyle w:val="18"/>
        <w:tblW w:w="8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27"/>
        <w:gridCol w:w="6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00" w:type="dxa"/>
            <w:noWrap/>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hint="eastAsia" w:ascii="宋体" w:hAnsi="宋体" w:eastAsia="宋体" w:cs="宋体"/>
                <w:b/>
                <w:bCs/>
                <w:color w:val="auto"/>
                <w:sz w:val="21"/>
                <w:szCs w:val="21"/>
                <w:highlight w:val="none"/>
              </w:rPr>
            </w:pPr>
          </w:p>
        </w:tc>
        <w:tc>
          <w:tcPr>
            <w:tcW w:w="1227" w:type="dxa"/>
            <w:noWrap/>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评分因素</w:t>
            </w:r>
          </w:p>
        </w:tc>
        <w:tc>
          <w:tcPr>
            <w:tcW w:w="6750" w:type="dxa"/>
            <w:noWrap/>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00" w:type="dxa"/>
            <w:vMerge w:val="restart"/>
            <w:noWrap/>
            <w:vAlign w:val="center"/>
          </w:tcPr>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技术商务标（70分）</w:t>
            </w:r>
          </w:p>
        </w:tc>
        <w:tc>
          <w:tcPr>
            <w:tcW w:w="1227" w:type="dxa"/>
            <w:noWrap/>
            <w:vAlign w:val="center"/>
          </w:tcPr>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公司资质</w:t>
            </w:r>
          </w:p>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（14分）</w:t>
            </w:r>
          </w:p>
        </w:tc>
        <w:tc>
          <w:tcPr>
            <w:tcW w:w="6750" w:type="dxa"/>
            <w:noWrap/>
            <w:vAlign w:val="center"/>
          </w:tcPr>
          <w:p>
            <w:pPr>
              <w:keepNext w:val="0"/>
              <w:keepLines w:val="0"/>
              <w:pageBreakBefore w:val="0"/>
              <w:widowControl w:val="0"/>
              <w:kinsoku/>
              <w:wordWrap/>
              <w:overflowPunct/>
              <w:topLinePunct w:val="0"/>
              <w:autoSpaceDE/>
              <w:autoSpaceDN/>
              <w:bidi w:val="0"/>
              <w:adjustRightIn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1.具有中国网络安全审查技术与认证中心（CCRC）颁发的信息安全风险评估服务资质的得4分，没有不得分。</w:t>
            </w:r>
          </w:p>
          <w:p>
            <w:pPr>
              <w:keepNext w:val="0"/>
              <w:keepLines w:val="0"/>
              <w:pageBreakBefore w:val="0"/>
              <w:widowControl w:val="0"/>
              <w:kinsoku/>
              <w:wordWrap/>
              <w:overflowPunct/>
              <w:topLinePunct w:val="0"/>
              <w:autoSpaceDE/>
              <w:autoSpaceDN/>
              <w:bidi w:val="0"/>
              <w:adjustRightIn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2.具有中国网络安全审查技术与认证中心（CCRC）颁发的信息系统安全运维服务资质的得4分，没有不得分。</w:t>
            </w:r>
          </w:p>
          <w:p>
            <w:pPr>
              <w:keepNext w:val="0"/>
              <w:keepLines w:val="0"/>
              <w:pageBreakBefore w:val="0"/>
              <w:widowControl w:val="0"/>
              <w:kinsoku/>
              <w:wordWrap/>
              <w:overflowPunct/>
              <w:topLinePunct w:val="0"/>
              <w:autoSpaceDE/>
              <w:autoSpaceDN/>
              <w:bidi w:val="0"/>
              <w:adjustRightIn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3.具有ISO27001网络安全管理体系认证证书的得3分（认证范围必须含：等级保护测评），没有不得分。</w:t>
            </w:r>
          </w:p>
          <w:p>
            <w:pPr>
              <w:keepNext w:val="0"/>
              <w:keepLines w:val="0"/>
              <w:pageBreakBefore w:val="0"/>
              <w:widowControl w:val="0"/>
              <w:kinsoku/>
              <w:wordWrap/>
              <w:overflowPunct/>
              <w:topLinePunct w:val="0"/>
              <w:autoSpaceDE/>
              <w:autoSpaceDN/>
              <w:bidi w:val="0"/>
              <w:adjustRightIn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4.具有ISO9001质量管理体系认证证书的得3分（认证范围必须含：等级保护测评），没有不得分。</w:t>
            </w:r>
          </w:p>
          <w:p>
            <w:pPr>
              <w:keepNext w:val="0"/>
              <w:keepLines w:val="0"/>
              <w:pageBreakBefore w:val="0"/>
              <w:widowControl w:val="0"/>
              <w:kinsoku/>
              <w:wordWrap/>
              <w:overflowPunct/>
              <w:topLinePunct w:val="0"/>
              <w:autoSpaceDE/>
              <w:autoSpaceDN/>
              <w:bidi w:val="0"/>
              <w:adjustRightInd/>
              <w:spacing w:line="42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证明材料：</w:t>
            </w:r>
          </w:p>
          <w:p>
            <w:pPr>
              <w:pStyle w:val="22"/>
              <w:keepNext w:val="0"/>
              <w:keepLines w:val="0"/>
              <w:pageBreakBefore w:val="0"/>
              <w:widowControl w:val="0"/>
              <w:kinsoku/>
              <w:wordWrap/>
              <w:overflowPunct/>
              <w:topLinePunct w:val="0"/>
              <w:autoSpaceDE/>
              <w:autoSpaceDN/>
              <w:bidi w:val="0"/>
              <w:adjustRightInd/>
              <w:snapToGrid w:val="0"/>
              <w:spacing w:line="420" w:lineRule="exact"/>
              <w:ind w:firstLine="210" w:firstLineChars="100"/>
              <w:jc w:val="left"/>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提供证明材料复印件并加盖供应商公章。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0" w:type="dxa"/>
            <w:vMerge w:val="continue"/>
            <w:noWrap/>
            <w:vAlign w:val="center"/>
          </w:tcPr>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p>
        </w:tc>
        <w:tc>
          <w:tcPr>
            <w:tcW w:w="1227" w:type="dxa"/>
            <w:vMerge w:val="restart"/>
            <w:noWrap/>
            <w:vAlign w:val="center"/>
          </w:tcPr>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技术实力</w:t>
            </w:r>
          </w:p>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（10分）</w:t>
            </w:r>
          </w:p>
        </w:tc>
        <w:tc>
          <w:tcPr>
            <w:tcW w:w="6750" w:type="dxa"/>
            <w:noWrap/>
            <w:vAlign w:val="center"/>
          </w:tcPr>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响应供应商三年以上（含三年）在CNAS测评能力验证结果均为“满意”的得6分。</w:t>
            </w:r>
          </w:p>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证明材料：</w:t>
            </w:r>
          </w:p>
          <w:p>
            <w:pPr>
              <w:pStyle w:val="22"/>
              <w:keepNext w:val="0"/>
              <w:keepLines w:val="0"/>
              <w:pageBreakBefore w:val="0"/>
              <w:widowControl w:val="0"/>
              <w:kinsoku/>
              <w:wordWrap/>
              <w:overflowPunct/>
              <w:topLinePunct w:val="0"/>
              <w:autoSpaceDE/>
              <w:autoSpaceDN/>
              <w:bidi w:val="0"/>
              <w:adjustRightInd/>
              <w:snapToGrid w:val="0"/>
              <w:spacing w:line="420" w:lineRule="exact"/>
              <w:ind w:firstLine="210" w:firstLineChars="10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提供中国合格评定国家认可委员会出具的能力验证计划结果证书复印件并加盖响应供应商公章。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900" w:type="dxa"/>
            <w:vMerge w:val="continue"/>
            <w:noWrap/>
            <w:vAlign w:val="center"/>
          </w:tcPr>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p>
        </w:tc>
        <w:tc>
          <w:tcPr>
            <w:tcW w:w="1227" w:type="dxa"/>
            <w:vMerge w:val="continue"/>
            <w:noWrap/>
            <w:vAlign w:val="center"/>
          </w:tcPr>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p>
        </w:tc>
        <w:tc>
          <w:tcPr>
            <w:tcW w:w="6750" w:type="dxa"/>
            <w:noWrap/>
            <w:vAlign w:val="center"/>
          </w:tcPr>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响应供应商与信息安全等级保护关键技术国家工程实验室有合作的得4分；响应供应商与信息安全等级保护关键技术国家工程实验室分实验室有合作的得2分；没有不得分。</w:t>
            </w:r>
          </w:p>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证明材料：提供正式的合作协议复印件并加盖响应供应商公章。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jc w:val="center"/>
        </w:trPr>
        <w:tc>
          <w:tcPr>
            <w:tcW w:w="900" w:type="dxa"/>
            <w:vMerge w:val="continue"/>
            <w:noWrap/>
            <w:vAlign w:val="center"/>
          </w:tcPr>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p>
        </w:tc>
        <w:tc>
          <w:tcPr>
            <w:tcW w:w="1227" w:type="dxa"/>
            <w:vMerge w:val="restart"/>
            <w:noWrap/>
            <w:vAlign w:val="center"/>
          </w:tcPr>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项目组成员（15分）</w:t>
            </w:r>
          </w:p>
        </w:tc>
        <w:tc>
          <w:tcPr>
            <w:tcW w:w="6750" w:type="dxa"/>
            <w:noWrap/>
            <w:vAlign w:val="center"/>
          </w:tcPr>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承担本次项目的项目团队人员具备：</w:t>
            </w:r>
          </w:p>
          <w:p>
            <w:pPr>
              <w:pStyle w:val="22"/>
              <w:keepNext w:val="0"/>
              <w:keepLines w:val="0"/>
              <w:pageBreakBefore w:val="0"/>
              <w:widowControl w:val="0"/>
              <w:kinsoku/>
              <w:wordWrap/>
              <w:overflowPunct/>
              <w:topLinePunct w:val="0"/>
              <w:autoSpaceDE/>
              <w:autoSpaceDN/>
              <w:bidi w:val="0"/>
              <w:adjustRightInd/>
              <w:snapToGrid w:val="0"/>
              <w:spacing w:line="420" w:lineRule="exact"/>
              <w:ind w:firstLine="315" w:firstLineChars="15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本项目拟派团队的项目经理为高级测评师得3分，项目经理有CISSP认证的得2分；</w:t>
            </w:r>
          </w:p>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证明材料： </w:t>
            </w:r>
          </w:p>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（1）提供拟派人员名单以及以上相关证明材料复印件并加盖供应商公章；</w:t>
            </w:r>
          </w:p>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（2）拟派人员为本单位正式员工，提供近2021年近三个月社保部门出具的供应商为其缴纳养老保险缴纳证明材料并加盖单位公章。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00" w:type="dxa"/>
            <w:vMerge w:val="continue"/>
            <w:noWrap/>
            <w:vAlign w:val="center"/>
          </w:tcPr>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p>
        </w:tc>
        <w:tc>
          <w:tcPr>
            <w:tcW w:w="1227" w:type="dxa"/>
            <w:vMerge w:val="continue"/>
            <w:noWrap/>
            <w:vAlign w:val="center"/>
          </w:tcPr>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p>
        </w:tc>
        <w:tc>
          <w:tcPr>
            <w:tcW w:w="6750" w:type="dxa"/>
            <w:noWrap/>
            <w:vAlign w:val="center"/>
          </w:tcPr>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承担本次项目的项目团队中除项目经理外人员具备:</w:t>
            </w:r>
          </w:p>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（1）本项目拟派团队中持有高级测评师，每人次得2分，最高得4分；</w:t>
            </w:r>
          </w:p>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（2）本项目拟派团队中持有中华人民共和国人力资源和社会保障部、工业和信息化部批准颁发的“信息安全工程师”证书，有一个得2分，最高2分；</w:t>
            </w:r>
          </w:p>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（3）本项目拟派团队中持有信息安全保障人员认证证书（CISAW），每人次得1分，最高得2分；</w:t>
            </w:r>
          </w:p>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（4）本项目拟派团队中持有重要信息系统安全等级保护培训证书（CIIP-T），每人次得1分，最高得2分。没有不得分；</w:t>
            </w:r>
          </w:p>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证明材料： </w:t>
            </w:r>
          </w:p>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（1）提供拟派人员名单以及以上相关证明材料复印件并加盖供应商公章；</w:t>
            </w:r>
          </w:p>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（2）拟派人员为本单位正式员工，提供近2021年近三个月社保部门出具的供应商为其缴纳养老保险缴纳证明材料并加盖单位公章。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900" w:type="dxa"/>
            <w:vMerge w:val="continue"/>
            <w:noWrap/>
            <w:vAlign w:val="center"/>
          </w:tcPr>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p>
        </w:tc>
        <w:tc>
          <w:tcPr>
            <w:tcW w:w="1227" w:type="dxa"/>
            <w:noWrap/>
            <w:vAlign w:val="center"/>
          </w:tcPr>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业绩（15分）</w:t>
            </w:r>
          </w:p>
        </w:tc>
        <w:tc>
          <w:tcPr>
            <w:tcW w:w="6750" w:type="dxa"/>
            <w:noWrap/>
            <w:vAlign w:val="center"/>
          </w:tcPr>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响应供应商提供2020年以来类似测评业绩：每个业绩得3分，最高得15分。</w:t>
            </w:r>
          </w:p>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证明材料：提供合同复印件并加盖响应供应商公章。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00" w:type="dxa"/>
            <w:vMerge w:val="continue"/>
            <w:noWrap/>
            <w:vAlign w:val="center"/>
          </w:tcPr>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p>
        </w:tc>
        <w:tc>
          <w:tcPr>
            <w:tcW w:w="1227" w:type="dxa"/>
            <w:vMerge w:val="restart"/>
            <w:noWrap/>
            <w:vAlign w:val="center"/>
          </w:tcPr>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服务能力</w:t>
            </w:r>
          </w:p>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（16分）</w:t>
            </w:r>
          </w:p>
        </w:tc>
        <w:tc>
          <w:tcPr>
            <w:tcW w:w="6750" w:type="dxa"/>
            <w:noWrap/>
            <w:vAlign w:val="center"/>
          </w:tcPr>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提供符合本项目实际需求的网络安全等级保护测评方案，评审小组进行横向比较，分档打分，一档10分；二档7分，三档4分，方案质量低劣或不提供不得分。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00" w:type="dxa"/>
            <w:vMerge w:val="continue"/>
            <w:noWrap/>
            <w:vAlign w:val="center"/>
          </w:tcPr>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p>
        </w:tc>
        <w:tc>
          <w:tcPr>
            <w:tcW w:w="1227" w:type="dxa"/>
            <w:vMerge w:val="continue"/>
            <w:noWrap/>
            <w:vAlign w:val="center"/>
          </w:tcPr>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p>
        </w:tc>
        <w:tc>
          <w:tcPr>
            <w:tcW w:w="6750" w:type="dxa"/>
            <w:noWrap/>
            <w:vAlign w:val="center"/>
          </w:tcPr>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安全事件应急响应能力：我单位承载业务系统非常重要，不容有失，一旦发生网络安全事件，必须得到及时处理，响应供应商必须提供网络安全事件应急响应服务，2小时内到场响应且响应时间最快的得6分，其次得4分，到场响应时间超过3小时不得分。</w:t>
            </w:r>
          </w:p>
          <w:p>
            <w:pPr>
              <w:pStyle w:val="22"/>
              <w:keepNext w:val="0"/>
              <w:keepLines w:val="0"/>
              <w:pageBreakBefore w:val="0"/>
              <w:widowControl w:val="0"/>
              <w:kinsoku/>
              <w:wordWrap/>
              <w:overflowPunct/>
              <w:topLinePunct w:val="0"/>
              <w:autoSpaceDE/>
              <w:autoSpaceDN/>
              <w:bidi w:val="0"/>
              <w:adjustRightInd/>
              <w:snapToGrid w:val="0"/>
              <w:spacing w:line="420" w:lineRule="exact"/>
              <w:ind w:firstLine="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证明材料：</w:t>
            </w:r>
          </w:p>
          <w:p>
            <w:pPr>
              <w:pStyle w:val="22"/>
              <w:keepNext w:val="0"/>
              <w:keepLines w:val="0"/>
              <w:pageBreakBefore w:val="0"/>
              <w:widowControl w:val="0"/>
              <w:kinsoku/>
              <w:wordWrap/>
              <w:overflowPunct/>
              <w:topLinePunct w:val="0"/>
              <w:autoSpaceDE/>
              <w:autoSpaceDN/>
              <w:bidi w:val="0"/>
              <w:adjustRightInd/>
              <w:snapToGrid w:val="0"/>
              <w:spacing w:line="420" w:lineRule="exact"/>
              <w:ind w:firstLine="315" w:firstLineChars="15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提供应急响应承诺函，安全事件应急响应服务时间以投标企业注册地址至被测评单位主流导航地图截图为准。</w:t>
            </w:r>
          </w:p>
        </w:tc>
      </w:tr>
    </w:tbl>
    <w:p>
      <w:pPr>
        <w:pStyle w:val="22"/>
        <w:keepNext w:val="0"/>
        <w:keepLines w:val="0"/>
        <w:pageBreakBefore w:val="0"/>
        <w:kinsoku/>
        <w:wordWrap/>
        <w:overflowPunct/>
        <w:topLinePunct w:val="0"/>
        <w:bidi w:val="0"/>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b/>
          <w:bCs w:val="0"/>
          <w:color w:val="auto"/>
          <w:sz w:val="21"/>
          <w:szCs w:val="21"/>
          <w:highlight w:val="none"/>
        </w:rPr>
        <w:t xml:space="preserve"> </w:t>
      </w:r>
      <w:r>
        <w:rPr>
          <w:rFonts w:hint="eastAsia" w:ascii="宋体" w:hAnsi="宋体" w:eastAsia="宋体" w:cs="宋体"/>
          <w:b/>
          <w:color w:val="auto"/>
          <w:sz w:val="21"/>
          <w:szCs w:val="21"/>
          <w:highlight w:val="none"/>
        </w:rPr>
        <w:t>注：在以上评审项评分标准中材料提供复印件的，响应（投标）人须保证复印件与原件保持一致，并加盖公章。中标成交后，采购单位有权对原件进行进一步核实。</w:t>
      </w:r>
    </w:p>
    <w:p>
      <w:pPr>
        <w:keepNext w:val="0"/>
        <w:keepLines w:val="0"/>
        <w:pageBreakBefore w:val="0"/>
        <w:kinsoku/>
        <w:wordWrap/>
        <w:overflowPunct/>
        <w:topLinePunct w:val="0"/>
        <w:bidi w:val="0"/>
        <w:adjustRightInd w:val="0"/>
        <w:snapToGrid w:val="0"/>
        <w:spacing w:line="420" w:lineRule="exact"/>
        <w:ind w:firstLine="562" w:firstLineChars="200"/>
        <w:jc w:val="left"/>
        <w:textAlignment w:val="auto"/>
        <w:rPr>
          <w:rFonts w:hint="eastAsia" w:ascii="宋体" w:hAnsi="宋体" w:eastAsia="宋体" w:cs="宋体"/>
          <w:b/>
          <w:bCs w:val="0"/>
          <w:color w:val="auto"/>
          <w:sz w:val="28"/>
          <w:szCs w:val="28"/>
          <w:highlight w:val="none"/>
        </w:rPr>
      </w:pPr>
      <w:r>
        <w:rPr>
          <w:rFonts w:hint="eastAsia" w:ascii="宋体" w:hAnsi="宋体" w:eastAsia="宋体" w:cs="宋体"/>
          <w:b/>
          <w:bCs w:val="0"/>
          <w:color w:val="auto"/>
          <w:sz w:val="28"/>
          <w:szCs w:val="28"/>
          <w:highlight w:val="none"/>
        </w:rPr>
        <w:t>(</w:t>
      </w:r>
      <w:r>
        <w:rPr>
          <w:rFonts w:hint="eastAsia" w:ascii="宋体" w:hAnsi="宋体" w:eastAsia="宋体" w:cs="宋体"/>
          <w:b/>
          <w:bCs w:val="0"/>
          <w:color w:val="auto"/>
          <w:sz w:val="28"/>
          <w:szCs w:val="28"/>
          <w:highlight w:val="none"/>
          <w:lang w:val="zh-CN"/>
        </w:rPr>
        <w:t>三</w:t>
      </w:r>
      <w:r>
        <w:rPr>
          <w:rFonts w:hint="eastAsia" w:ascii="宋体" w:hAnsi="宋体" w:eastAsia="宋体" w:cs="宋体"/>
          <w:b/>
          <w:bCs w:val="0"/>
          <w:color w:val="auto"/>
          <w:sz w:val="28"/>
          <w:szCs w:val="28"/>
          <w:highlight w:val="none"/>
        </w:rPr>
        <w:t>）</w:t>
      </w:r>
      <w:r>
        <w:rPr>
          <w:rFonts w:hint="eastAsia" w:ascii="宋体" w:hAnsi="宋体" w:eastAsia="宋体" w:cs="宋体"/>
          <w:b/>
          <w:bCs w:val="0"/>
          <w:color w:val="auto"/>
          <w:sz w:val="28"/>
          <w:szCs w:val="28"/>
          <w:highlight w:val="none"/>
          <w:lang w:val="zh-CN"/>
        </w:rPr>
        <w:t>价格分</w:t>
      </w:r>
      <w:r>
        <w:rPr>
          <w:rFonts w:hint="eastAsia" w:ascii="宋体" w:hAnsi="宋体" w:eastAsia="宋体" w:cs="宋体"/>
          <w:b/>
          <w:bCs w:val="0"/>
          <w:color w:val="auto"/>
          <w:sz w:val="28"/>
          <w:szCs w:val="28"/>
          <w:highlight w:val="none"/>
        </w:rPr>
        <w:t>：30</w:t>
      </w:r>
      <w:r>
        <w:rPr>
          <w:rFonts w:hint="eastAsia" w:ascii="宋体" w:hAnsi="宋体" w:eastAsia="宋体" w:cs="宋体"/>
          <w:b/>
          <w:bCs w:val="0"/>
          <w:color w:val="auto"/>
          <w:sz w:val="28"/>
          <w:szCs w:val="28"/>
          <w:highlight w:val="none"/>
          <w:lang w:val="zh-CN"/>
        </w:rPr>
        <w:t>分</w:t>
      </w:r>
    </w:p>
    <w:p>
      <w:pPr>
        <w:keepNext w:val="0"/>
        <w:keepLines w:val="0"/>
        <w:pageBreakBefore w:val="0"/>
        <w:kinsoku/>
        <w:wordWrap/>
        <w:overflowPunct/>
        <w:topLinePunct w:val="0"/>
        <w:bidi w:val="0"/>
        <w:snapToGrid w:val="0"/>
        <w:spacing w:line="42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价格分统一采用低价优先法计算，即满足磋商采购文件要求且最后报价最低的磋商价格为评标基准价，其价格分为满分。其他磋商响应投标人的最后价格分统一按照下列公式计算：</w:t>
      </w:r>
    </w:p>
    <w:p>
      <w:pPr>
        <w:keepNext w:val="0"/>
        <w:keepLines w:val="0"/>
        <w:pageBreakBefore w:val="0"/>
        <w:kinsoku/>
        <w:wordWrap/>
        <w:overflowPunct/>
        <w:topLinePunct w:val="0"/>
        <w:bidi w:val="0"/>
        <w:snapToGrid w:val="0"/>
        <w:spacing w:line="42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磋商报价得分=（磋商评标基准价/磋商最后报价）×价格权值×100</w:t>
      </w:r>
    </w:p>
    <w:p>
      <w:pPr>
        <w:keepNext w:val="0"/>
        <w:keepLines w:val="0"/>
        <w:pageBreakBefore w:val="0"/>
        <w:kinsoku/>
        <w:wordWrap/>
        <w:overflowPunct/>
        <w:topLinePunct w:val="0"/>
        <w:autoSpaceDE w:val="0"/>
        <w:autoSpaceDN w:val="0"/>
        <w:bidi w:val="0"/>
        <w:adjustRightInd w:val="0"/>
        <w:snapToGrid w:val="0"/>
        <w:spacing w:line="42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磋商评审过程中，不得去掉最后报价中的最高报价和最低报价。</w:t>
      </w:r>
    </w:p>
    <w:p>
      <w:pPr>
        <w:pStyle w:val="40"/>
        <w:keepNext w:val="0"/>
        <w:keepLines w:val="0"/>
        <w:pageBreakBefore w:val="0"/>
        <w:kinsoku/>
        <w:wordWrap/>
        <w:overflowPunct/>
        <w:topLinePunct w:val="0"/>
        <w:bidi w:val="0"/>
        <w:snapToGrid w:val="0"/>
        <w:spacing w:line="420" w:lineRule="exact"/>
        <w:ind w:firstLine="579"/>
        <w:contextualSpacing/>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八、</w:t>
      </w:r>
      <w:r>
        <w:rPr>
          <w:rFonts w:hint="eastAsia" w:ascii="宋体" w:hAnsi="宋体" w:eastAsia="宋体" w:cs="宋体"/>
          <w:b/>
          <w:color w:val="auto"/>
          <w:sz w:val="24"/>
          <w:szCs w:val="24"/>
          <w:highlight w:val="none"/>
        </w:rPr>
        <w:t>出现下列情形之一的，竞争性磋商采购活动终止，发布项目终止公告并说明原因，重新开展采购活动：</w:t>
      </w:r>
    </w:p>
    <w:p>
      <w:pPr>
        <w:pStyle w:val="40"/>
        <w:keepNext w:val="0"/>
        <w:keepLines w:val="0"/>
        <w:pageBreakBefore w:val="0"/>
        <w:kinsoku/>
        <w:wordWrap/>
        <w:overflowPunct/>
        <w:topLinePunct w:val="0"/>
        <w:bidi w:val="0"/>
        <w:snapToGrid w:val="0"/>
        <w:spacing w:line="420" w:lineRule="exact"/>
        <w:ind w:firstLine="577"/>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（一）因情况变化，不再符合规定的竞争性磋商采购方式适用情形的；</w:t>
      </w:r>
    </w:p>
    <w:p>
      <w:pPr>
        <w:pStyle w:val="40"/>
        <w:keepNext w:val="0"/>
        <w:keepLines w:val="0"/>
        <w:pageBreakBefore w:val="0"/>
        <w:kinsoku/>
        <w:wordWrap/>
        <w:overflowPunct/>
        <w:topLinePunct w:val="0"/>
        <w:bidi w:val="0"/>
        <w:snapToGrid w:val="0"/>
        <w:spacing w:line="420" w:lineRule="exact"/>
        <w:ind w:firstLine="577"/>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（二）出现影响采购公正的违法、违规行为的；</w:t>
      </w:r>
    </w:p>
    <w:p>
      <w:pPr>
        <w:pStyle w:val="40"/>
        <w:keepNext w:val="0"/>
        <w:keepLines w:val="0"/>
        <w:pageBreakBefore w:val="0"/>
        <w:kinsoku/>
        <w:wordWrap/>
        <w:overflowPunct/>
        <w:topLinePunct w:val="0"/>
        <w:bidi w:val="0"/>
        <w:snapToGrid w:val="0"/>
        <w:spacing w:line="420" w:lineRule="exact"/>
        <w:ind w:firstLine="480" w:firstLineChars="200"/>
        <w:contextualSpacing/>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（三）在采购过程中符合要求的供应商或者报价未超过采购预算的供应商不足2家的。</w:t>
      </w:r>
    </w:p>
    <w:p>
      <w:pPr>
        <w:keepNext w:val="0"/>
        <w:keepLines w:val="0"/>
        <w:pageBreakBefore w:val="0"/>
        <w:kinsoku/>
        <w:wordWrap/>
        <w:overflowPunct/>
        <w:topLinePunct w:val="0"/>
        <w:bidi w:val="0"/>
        <w:snapToGrid w:val="0"/>
        <w:spacing w:line="420" w:lineRule="exact"/>
        <w:ind w:firstLine="482" w:firstLineChars="200"/>
        <w:textAlignment w:val="auto"/>
        <w:rPr>
          <w:rFonts w:hint="eastAsia" w:ascii="宋体" w:hAnsi="宋体" w:eastAsia="宋体" w:cs="宋体"/>
          <w:b/>
          <w:color w:val="auto"/>
          <w:sz w:val="24"/>
          <w:szCs w:val="24"/>
          <w:highlight w:val="none"/>
        </w:rPr>
      </w:pPr>
      <w:bookmarkStart w:id="5" w:name="_Toc42779655"/>
      <w:r>
        <w:rPr>
          <w:rFonts w:hint="eastAsia" w:ascii="宋体" w:hAnsi="宋体" w:eastAsia="宋体" w:cs="宋体"/>
          <w:b/>
          <w:color w:val="auto"/>
          <w:sz w:val="24"/>
          <w:szCs w:val="24"/>
          <w:highlight w:val="none"/>
          <w:lang w:val="en-US" w:eastAsia="zh-CN"/>
        </w:rPr>
        <w:t>九</w:t>
      </w:r>
      <w:r>
        <w:rPr>
          <w:rFonts w:hint="eastAsia" w:ascii="宋体" w:hAnsi="宋体" w:eastAsia="宋体" w:cs="宋体"/>
          <w:b/>
          <w:color w:val="auto"/>
          <w:sz w:val="24"/>
          <w:szCs w:val="24"/>
          <w:highlight w:val="none"/>
        </w:rPr>
        <w:t>、中标成交通知</w:t>
      </w:r>
    </w:p>
    <w:p>
      <w:pPr>
        <w:keepNext w:val="0"/>
        <w:keepLines w:val="0"/>
        <w:pageBreakBefore w:val="0"/>
        <w:kinsoku/>
        <w:wordWrap/>
        <w:overflowPunct/>
        <w:topLinePunct w:val="0"/>
        <w:bidi w:val="0"/>
        <w:snapToGrid w:val="0"/>
        <w:spacing w:line="42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中标成交结果在《南通网》）公告，</w:t>
      </w:r>
      <w:r>
        <w:rPr>
          <w:rFonts w:hint="eastAsia" w:ascii="宋体" w:hAnsi="宋体" w:eastAsia="宋体" w:cs="宋体"/>
          <w:color w:val="auto"/>
          <w:sz w:val="24"/>
          <w:szCs w:val="24"/>
          <w:highlight w:val="none"/>
          <w:shd w:val="clear" w:color="auto" w:fill="FFFFFF"/>
        </w:rPr>
        <w:t>中标成交公告期限为1个工作日。</w:t>
      </w:r>
      <w:r>
        <w:rPr>
          <w:rFonts w:hint="eastAsia" w:ascii="宋体" w:hAnsi="宋体" w:eastAsia="宋体" w:cs="宋体"/>
          <w:color w:val="auto"/>
          <w:sz w:val="24"/>
          <w:szCs w:val="24"/>
          <w:highlight w:val="none"/>
        </w:rPr>
        <w:t>《成交通知书》一经发出，如采购单位改变成交结果，或者成交供应商放弃成交的，各自承担相应的法律责任。</w:t>
      </w:r>
    </w:p>
    <w:p>
      <w:pPr>
        <w:keepNext w:val="0"/>
        <w:keepLines w:val="0"/>
        <w:pageBreakBefore w:val="0"/>
        <w:kinsoku/>
        <w:wordWrap/>
        <w:overflowPunct/>
        <w:topLinePunct w:val="0"/>
        <w:bidi w:val="0"/>
        <w:snapToGrid w:val="0"/>
        <w:spacing w:line="42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十</w:t>
      </w:r>
      <w:r>
        <w:rPr>
          <w:rFonts w:hint="eastAsia" w:ascii="宋体" w:hAnsi="宋体" w:eastAsia="宋体" w:cs="宋体"/>
          <w:b/>
          <w:color w:val="auto"/>
          <w:sz w:val="24"/>
          <w:szCs w:val="24"/>
          <w:highlight w:val="none"/>
        </w:rPr>
        <w:t>、其他注意事项</w:t>
      </w:r>
    </w:p>
    <w:p>
      <w:pPr>
        <w:keepNext w:val="0"/>
        <w:keepLines w:val="0"/>
        <w:pageBreakBefore w:val="0"/>
        <w:kinsoku/>
        <w:wordWrap/>
        <w:overflowPunct/>
        <w:topLinePunct w:val="0"/>
        <w:bidi w:val="0"/>
        <w:snapToGrid w:val="0"/>
        <w:spacing w:line="42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1.在响应、评审、磋商期间，供应商不得向评委询问情况，不得进行旨在影响评审、磋商结果的活动。</w:t>
      </w:r>
    </w:p>
    <w:p>
      <w:pPr>
        <w:keepNext w:val="0"/>
        <w:keepLines w:val="0"/>
        <w:pageBreakBefore w:val="0"/>
        <w:kinsoku/>
        <w:wordWrap/>
        <w:overflowPunct/>
        <w:topLinePunct w:val="0"/>
        <w:bidi w:val="0"/>
        <w:snapToGrid w:val="0"/>
        <w:spacing w:line="42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2.磋商小组不得向参与竞争性磋商采购活动供应商解释落选原因。</w:t>
      </w:r>
    </w:p>
    <w:p>
      <w:pPr>
        <w:keepNext w:val="0"/>
        <w:keepLines w:val="0"/>
        <w:pageBreakBefore w:val="0"/>
        <w:kinsoku/>
        <w:wordWrap/>
        <w:overflowPunct/>
        <w:topLinePunct w:val="0"/>
        <w:bidi w:val="0"/>
        <w:snapToGrid w:val="0"/>
        <w:spacing w:line="42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3.在响应、磋商、评审过程中，如果响应供应商联合故意抬高报价或出现其他不正当行为，采购人有权中止响应或磋商、评审。</w:t>
      </w:r>
    </w:p>
    <w:p>
      <w:pPr>
        <w:keepNext w:val="0"/>
        <w:keepLines w:val="0"/>
        <w:pageBreakBefore w:val="0"/>
        <w:kinsoku/>
        <w:wordWrap/>
        <w:overflowPunct/>
        <w:topLinePunct w:val="0"/>
        <w:bidi w:val="0"/>
        <w:snapToGrid w:val="0"/>
        <w:spacing w:line="42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凡在响应、磋商、评审过程中，采购人已提示是否异议的事项，响应人当时没有提出异议的，事后响应人不得针对上述事项提出质疑。比如：采购人在评审中提示评委成员是否回避，响应人现场未提出异议的，事后不得针对评委成员回避事项提出质疑。</w:t>
      </w:r>
    </w:p>
    <w:p>
      <w:pPr>
        <w:keepNext w:val="0"/>
        <w:keepLines w:val="0"/>
        <w:pageBreakBefore w:val="0"/>
        <w:kinsoku/>
        <w:wordWrap/>
        <w:overflowPunct/>
        <w:topLinePunct w:val="0"/>
        <w:bidi w:val="0"/>
        <w:snapToGrid w:val="0"/>
        <w:spacing w:line="420" w:lineRule="exact"/>
        <w:ind w:firstLine="560" w:firstLineChars="200"/>
        <w:textAlignment w:val="auto"/>
        <w:rPr>
          <w:rFonts w:hint="eastAsia" w:ascii="宋体" w:hAnsi="宋体" w:eastAsia="宋体" w:cs="宋体"/>
          <w:color w:val="auto"/>
          <w:sz w:val="28"/>
          <w:szCs w:val="28"/>
          <w:highlight w:val="none"/>
        </w:rPr>
      </w:pPr>
    </w:p>
    <w:p>
      <w:pPr>
        <w:pStyle w:val="2"/>
        <w:rPr>
          <w:rFonts w:hint="eastAsia" w:ascii="宋体" w:hAnsi="宋体" w:eastAsia="宋体" w:cs="宋体"/>
          <w:color w:val="auto"/>
          <w:sz w:val="28"/>
          <w:szCs w:val="28"/>
          <w:highlight w:val="none"/>
        </w:rPr>
      </w:pPr>
    </w:p>
    <w:p>
      <w:pPr>
        <w:autoSpaceDE w:val="0"/>
        <w:autoSpaceDN w:val="0"/>
        <w:adjustRightInd w:val="0"/>
        <w:snapToGrid w:val="0"/>
        <w:spacing w:line="480" w:lineRule="exact"/>
        <w:jc w:val="both"/>
        <w:rPr>
          <w:rFonts w:hint="eastAsia" w:ascii="宋体" w:hAnsi="宋体" w:eastAsia="宋体" w:cs="宋体"/>
          <w:b/>
          <w:color w:val="auto"/>
          <w:sz w:val="28"/>
          <w:szCs w:val="28"/>
          <w:highlight w:val="none"/>
        </w:rPr>
      </w:pPr>
      <w:bookmarkStart w:id="6" w:name="_Toc28934"/>
    </w:p>
    <w:p>
      <w:pPr>
        <w:autoSpaceDE w:val="0"/>
        <w:autoSpaceDN w:val="0"/>
        <w:adjustRightInd w:val="0"/>
        <w:snapToGrid w:val="0"/>
        <w:spacing w:line="48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第五部分  拟签订的合同（协议）文本格式及条款</w:t>
      </w:r>
      <w:bookmarkEnd w:id="6"/>
    </w:p>
    <w:p>
      <w:pPr>
        <w:pStyle w:val="39"/>
        <w:spacing w:line="520" w:lineRule="exact"/>
        <w:jc w:val="center"/>
        <w:rPr>
          <w:rFonts w:hint="eastAsia" w:ascii="宋体" w:hAnsi="宋体" w:eastAsia="宋体" w:cs="宋体"/>
          <w:bCs/>
          <w:color w:val="auto"/>
          <w:kern w:val="2"/>
          <w:sz w:val="24"/>
          <w:szCs w:val="24"/>
          <w:highlight w:val="none"/>
        </w:rPr>
      </w:pPr>
    </w:p>
    <w:p>
      <w:pPr>
        <w:pStyle w:val="39"/>
        <w:spacing w:line="52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 xml:space="preserve">             </w:t>
      </w:r>
      <w:r>
        <w:rPr>
          <w:rFonts w:hint="eastAsia" w:ascii="宋体" w:hAnsi="宋体" w:eastAsia="宋体" w:cs="宋体"/>
          <w:bCs/>
          <w:color w:val="auto"/>
          <w:kern w:val="2"/>
          <w:sz w:val="24"/>
          <w:szCs w:val="24"/>
          <w:highlight w:val="none"/>
          <w:lang w:val="en-US" w:eastAsia="zh-CN"/>
        </w:rPr>
        <w:t xml:space="preserve">       </w:t>
      </w:r>
      <w:r>
        <w:rPr>
          <w:rFonts w:hint="eastAsia" w:ascii="宋体" w:hAnsi="宋体" w:eastAsia="宋体" w:cs="宋体"/>
          <w:bCs/>
          <w:color w:val="auto"/>
          <w:kern w:val="2"/>
          <w:sz w:val="24"/>
          <w:szCs w:val="24"/>
          <w:highlight w:val="none"/>
        </w:rPr>
        <w:t xml:space="preserve"> 合同签约地点：南通市崇川区</w:t>
      </w:r>
    </w:p>
    <w:p>
      <w:pPr>
        <w:pStyle w:val="39"/>
        <w:spacing w:line="520" w:lineRule="exact"/>
        <w:rPr>
          <w:rFonts w:hint="eastAsia" w:ascii="宋体" w:hAnsi="宋体" w:eastAsia="宋体" w:cs="宋体"/>
          <w:bCs/>
          <w:color w:val="auto"/>
          <w:kern w:val="2"/>
          <w:sz w:val="24"/>
          <w:szCs w:val="24"/>
          <w:highlight w:val="none"/>
        </w:rPr>
      </w:pPr>
      <w:r>
        <w:rPr>
          <w:rFonts w:hint="eastAsia" w:ascii="宋体" w:hAnsi="宋体" w:eastAsia="宋体" w:cs="宋体"/>
          <w:b/>
          <w:bCs/>
          <w:color w:val="auto"/>
          <w:kern w:val="2"/>
          <w:sz w:val="24"/>
          <w:szCs w:val="24"/>
          <w:highlight w:val="none"/>
        </w:rPr>
        <w:t xml:space="preserve">                         </w:t>
      </w:r>
      <w:r>
        <w:rPr>
          <w:rFonts w:hint="eastAsia" w:ascii="宋体" w:hAnsi="宋体" w:eastAsia="宋体" w:cs="宋体"/>
          <w:bCs/>
          <w:color w:val="auto"/>
          <w:kern w:val="2"/>
          <w:sz w:val="24"/>
          <w:szCs w:val="24"/>
          <w:highlight w:val="none"/>
        </w:rPr>
        <w:t xml:space="preserve"> </w:t>
      </w:r>
      <w:r>
        <w:rPr>
          <w:rFonts w:hint="eastAsia" w:ascii="宋体" w:hAnsi="宋体" w:eastAsia="宋体" w:cs="宋体"/>
          <w:bCs/>
          <w:color w:val="auto"/>
          <w:kern w:val="2"/>
          <w:sz w:val="24"/>
          <w:szCs w:val="24"/>
          <w:highlight w:val="none"/>
          <w:lang w:val="en-US" w:eastAsia="zh-CN"/>
        </w:rPr>
        <w:t xml:space="preserve">     </w:t>
      </w:r>
      <w:r>
        <w:rPr>
          <w:rFonts w:hint="eastAsia" w:ascii="宋体" w:hAnsi="宋体" w:eastAsia="宋体" w:cs="宋体"/>
          <w:bCs/>
          <w:color w:val="auto"/>
          <w:kern w:val="2"/>
          <w:sz w:val="24"/>
          <w:szCs w:val="24"/>
          <w:highlight w:val="none"/>
        </w:rPr>
        <w:t>合同签订日期：202</w:t>
      </w:r>
      <w:r>
        <w:rPr>
          <w:rFonts w:hint="eastAsia" w:ascii="宋体" w:hAnsi="宋体" w:eastAsia="宋体" w:cs="宋体"/>
          <w:bCs/>
          <w:color w:val="auto"/>
          <w:kern w:val="2"/>
          <w:sz w:val="24"/>
          <w:szCs w:val="24"/>
          <w:highlight w:val="none"/>
          <w:lang w:val="en-US" w:eastAsia="zh-CN"/>
        </w:rPr>
        <w:t>1</w:t>
      </w:r>
      <w:r>
        <w:rPr>
          <w:rFonts w:hint="eastAsia" w:ascii="宋体" w:hAnsi="宋体" w:eastAsia="宋体" w:cs="宋体"/>
          <w:bCs/>
          <w:color w:val="auto"/>
          <w:kern w:val="2"/>
          <w:sz w:val="24"/>
          <w:szCs w:val="24"/>
          <w:highlight w:val="none"/>
        </w:rPr>
        <w:t>年月  日</w:t>
      </w:r>
    </w:p>
    <w:p>
      <w:pPr>
        <w:pStyle w:val="39"/>
        <w:spacing w:line="480" w:lineRule="exact"/>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采购单位（全称）： </w:t>
      </w:r>
      <w:r>
        <w:rPr>
          <w:rFonts w:hint="eastAsia" w:ascii="宋体" w:hAnsi="宋体" w:eastAsia="宋体" w:cs="宋体"/>
          <w:color w:val="auto"/>
          <w:kern w:val="2"/>
          <w:sz w:val="24"/>
          <w:szCs w:val="24"/>
          <w:highlight w:val="none"/>
          <w:u w:val="single"/>
        </w:rPr>
        <w:t xml:space="preserve">                    </w:t>
      </w:r>
      <w:r>
        <w:rPr>
          <w:rFonts w:hint="eastAsia" w:ascii="宋体" w:hAnsi="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rPr>
        <w:t>（简称甲方）</w:t>
      </w:r>
    </w:p>
    <w:p>
      <w:pPr>
        <w:pStyle w:val="39"/>
        <w:spacing w:line="48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成交供应商（全称）：</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rPr>
        <w:t>（简称乙方）</w:t>
      </w:r>
    </w:p>
    <w:p>
      <w:pPr>
        <w:spacing w:line="48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为进一步提高信息系统安全保障水平，落实国家关于信息系统开展等级保护工作的相关政策、法律法规，根据国家、省相关管理规定，甲方通过《南通网》发布《网络信息系统安全等级保护测评服务机构竞争性磋商采购公告》方式，经磋商评审确定乙方成交该项目。</w:t>
      </w:r>
      <w:r>
        <w:rPr>
          <w:rFonts w:hint="eastAsia" w:ascii="宋体" w:hAnsi="宋体" w:eastAsia="宋体" w:cs="宋体"/>
          <w:color w:val="auto"/>
          <w:sz w:val="24"/>
          <w:szCs w:val="24"/>
          <w:highlight w:val="none"/>
        </w:rPr>
        <w:t>依照《中华人民共和国政府采购法》及其实施条例、《中华人民共和国合同法》及其他有关法律、行政法规，遵循平等、自愿、公平和诚实信用的原则，</w:t>
      </w:r>
      <w:r>
        <w:rPr>
          <w:rFonts w:hint="eastAsia" w:ascii="宋体" w:hAnsi="宋体" w:eastAsia="宋体" w:cs="宋体"/>
          <w:b/>
          <w:color w:val="auto"/>
          <w:sz w:val="24"/>
          <w:szCs w:val="24"/>
          <w:highlight w:val="none"/>
        </w:rPr>
        <w:t>经</w:t>
      </w:r>
      <w:r>
        <w:rPr>
          <w:rFonts w:hint="eastAsia" w:ascii="宋体" w:hAnsi="宋体" w:eastAsia="宋体" w:cs="宋体"/>
          <w:color w:val="auto"/>
          <w:sz w:val="24"/>
          <w:szCs w:val="24"/>
          <w:highlight w:val="none"/>
        </w:rPr>
        <w:t>甲、乙双方协商，一致达成如下协议：</w:t>
      </w:r>
    </w:p>
    <w:p>
      <w:pPr>
        <w:spacing w:line="480" w:lineRule="exact"/>
        <w:rPr>
          <w:rFonts w:hint="eastAsia" w:ascii="宋体" w:hAnsi="宋体" w:eastAsia="宋体" w:cs="宋体"/>
          <w:color w:val="auto"/>
          <w:sz w:val="24"/>
          <w:szCs w:val="24"/>
          <w:highlight w:val="none"/>
        </w:rPr>
      </w:pPr>
    </w:p>
    <w:p>
      <w:pPr>
        <w:spacing w:line="480" w:lineRule="exact"/>
        <w:ind w:firstLine="720" w:firstLineChars="3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一、受</w:t>
      </w:r>
      <w:r>
        <w:rPr>
          <w:rFonts w:hint="eastAsia" w:ascii="宋体" w:hAnsi="宋体" w:eastAsia="宋体" w:cs="宋体"/>
          <w:color w:val="auto"/>
          <w:sz w:val="24"/>
          <w:szCs w:val="24"/>
          <w:highlight w:val="none"/>
          <w:u w:val="single"/>
        </w:rPr>
        <w:t>南通日报社（南通报业传媒集团）</w:t>
      </w:r>
      <w:r>
        <w:rPr>
          <w:rFonts w:hint="eastAsia" w:ascii="宋体" w:hAnsi="宋体" w:eastAsia="宋体" w:cs="宋体"/>
          <w:color w:val="auto"/>
          <w:sz w:val="24"/>
          <w:szCs w:val="24"/>
          <w:highlight w:val="none"/>
        </w:rPr>
        <w:t>委托，乙方负责对甲方</w:t>
      </w:r>
      <w:r>
        <w:rPr>
          <w:rFonts w:hint="eastAsia" w:ascii="宋体" w:hAnsi="宋体" w:eastAsia="宋体" w:cs="宋体"/>
          <w:color w:val="auto"/>
          <w:sz w:val="24"/>
          <w:szCs w:val="24"/>
          <w:highlight w:val="none"/>
          <w:u w:val="single"/>
        </w:rPr>
        <w:t>《南通网》网站系统（叁级）、南通报业传媒集团采编系统（叁级）</w:t>
      </w:r>
      <w:r>
        <w:rPr>
          <w:rFonts w:hint="eastAsia" w:ascii="宋体" w:hAnsi="宋体" w:eastAsia="宋体" w:cs="宋体"/>
          <w:color w:val="auto"/>
          <w:sz w:val="24"/>
          <w:szCs w:val="24"/>
          <w:highlight w:val="none"/>
        </w:rPr>
        <w:t>进行网络信息系统安全等级保护测评。</w:t>
      </w:r>
    </w:p>
    <w:p>
      <w:pPr>
        <w:spacing w:before="100" w:beforeAutospacing="1" w:line="48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二、乙方应于</w:t>
      </w:r>
      <w:r>
        <w:rPr>
          <w:rFonts w:hint="eastAsia" w:ascii="宋体" w:hAnsi="宋体" w:eastAsia="宋体" w:cs="宋体"/>
          <w:color w:val="auto"/>
          <w:sz w:val="24"/>
          <w:szCs w:val="24"/>
          <w:highlight w:val="none"/>
          <w:u w:val="single"/>
        </w:rPr>
        <w:t xml:space="preserve"> 2020年12月  日</w:t>
      </w:r>
      <w:r>
        <w:rPr>
          <w:rFonts w:hint="eastAsia" w:ascii="宋体" w:hAnsi="宋体" w:eastAsia="宋体" w:cs="宋体"/>
          <w:color w:val="auto"/>
          <w:sz w:val="24"/>
          <w:szCs w:val="24"/>
          <w:highlight w:val="none"/>
        </w:rPr>
        <w:t>至</w:t>
      </w:r>
      <w:r>
        <w:rPr>
          <w:rFonts w:hint="eastAsia" w:ascii="宋体" w:hAnsi="宋体" w:eastAsia="宋体" w:cs="宋体"/>
          <w:color w:val="auto"/>
          <w:sz w:val="24"/>
          <w:szCs w:val="24"/>
          <w:highlight w:val="none"/>
          <w:u w:val="single"/>
        </w:rPr>
        <w:t>20201年1月  日期限</w:t>
      </w:r>
      <w:r>
        <w:rPr>
          <w:rFonts w:hint="eastAsia" w:ascii="宋体" w:hAnsi="宋体" w:eastAsia="宋体" w:cs="宋体"/>
          <w:color w:val="auto"/>
          <w:sz w:val="24"/>
          <w:szCs w:val="24"/>
          <w:highlight w:val="none"/>
        </w:rPr>
        <w:t>完成评估相关工作，向委托方提交网络信息系统安全等级测评报告，加盖等级保护专用章，作为甲方开展等级测评工作的证明。</w:t>
      </w:r>
    </w:p>
    <w:p>
      <w:pPr>
        <w:spacing w:before="100" w:beforeAutospacing="1" w:line="480" w:lineRule="exact"/>
        <w:ind w:firstLine="470" w:firstLineChars="196"/>
        <w:rPr>
          <w:rStyle w:val="32"/>
          <w:rFonts w:hint="eastAsia" w:ascii="宋体" w:hAnsi="宋体" w:eastAsia="宋体" w:cs="宋体"/>
          <w:b w:val="0"/>
          <w:color w:val="auto"/>
          <w:sz w:val="24"/>
          <w:szCs w:val="24"/>
          <w:highlight w:val="none"/>
        </w:rPr>
      </w:pPr>
      <w:r>
        <w:rPr>
          <w:rStyle w:val="32"/>
          <w:rFonts w:hint="eastAsia" w:ascii="宋体" w:hAnsi="宋体" w:eastAsia="宋体" w:cs="宋体"/>
          <w:b w:val="0"/>
          <w:color w:val="auto"/>
          <w:sz w:val="24"/>
          <w:szCs w:val="24"/>
          <w:highlight w:val="none"/>
        </w:rPr>
        <w:t>三、测评内容</w:t>
      </w:r>
    </w:p>
    <w:p>
      <w:pPr>
        <w:spacing w:line="480" w:lineRule="exact"/>
        <w:ind w:firstLine="480" w:firstLineChars="200"/>
        <w:rPr>
          <w:rFonts w:hint="eastAsia" w:ascii="宋体" w:hAnsi="宋体" w:eastAsia="宋体" w:cs="宋体"/>
          <w:color w:val="auto"/>
          <w:sz w:val="24"/>
          <w:szCs w:val="24"/>
          <w:highlight w:val="none"/>
        </w:rPr>
      </w:pPr>
      <w:r>
        <w:rPr>
          <w:rStyle w:val="32"/>
          <w:rFonts w:hint="eastAsia" w:ascii="宋体" w:hAnsi="宋体" w:eastAsia="宋体" w:cs="宋体"/>
          <w:b w:val="0"/>
          <w:color w:val="auto"/>
          <w:sz w:val="24"/>
          <w:szCs w:val="24"/>
          <w:highlight w:val="none"/>
        </w:rPr>
        <w:t>乙方依据网络信息系统安全等级测评相关管理规定和技术规范，按照网络《信息系统安全等级保护基本要求》、《信息系统安全等级保护测评要求》、《信息系统安全等级保护实施指南》、《信息系统安全等级保护测评过程指南》并参照相关标准对上述系统开展等级测评相关工作，主要内容包括但不限于：</w:t>
      </w:r>
    </w:p>
    <w:p>
      <w:pPr>
        <w:numPr>
          <w:ilvl w:val="0"/>
          <w:numId w:val="0"/>
        </w:numPr>
        <w:tabs>
          <w:tab w:val="left" w:pos="709"/>
        </w:tabs>
        <w:spacing w:line="480" w:lineRule="exact"/>
        <w:ind w:left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现场测评</w:t>
      </w:r>
    </w:p>
    <w:p>
      <w:pPr>
        <w:spacing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采用访谈、文档审查、配置检查、工具测试和实地查看等方式测评被测信息系统的安全保护措施情况，并获取相关证据。</w:t>
      </w:r>
    </w:p>
    <w:p>
      <w:pPr>
        <w:numPr>
          <w:ilvl w:val="0"/>
          <w:numId w:val="0"/>
        </w:numPr>
        <w:tabs>
          <w:tab w:val="left" w:pos="709"/>
        </w:tabs>
        <w:spacing w:line="480" w:lineRule="exact"/>
        <w:ind w:left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单项测评结果判定</w:t>
      </w:r>
    </w:p>
    <w:p>
      <w:pPr>
        <w:spacing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分析现场测评结果中的优势证据并与要求内容的预期结果相比较，分析出“符合”项、“不符合”项、“部分符合”项与“不适用”项。</w:t>
      </w:r>
    </w:p>
    <w:p>
      <w:pPr>
        <w:numPr>
          <w:ilvl w:val="0"/>
          <w:numId w:val="0"/>
        </w:numPr>
        <w:tabs>
          <w:tab w:val="left" w:pos="709"/>
        </w:tabs>
        <w:spacing w:line="480" w:lineRule="exact"/>
        <w:ind w:left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单元测评结果判定</w:t>
      </w:r>
    </w:p>
    <w:p>
      <w:pPr>
        <w:spacing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按层面分别汇总测评对象对应的测评指标的单项结果情况，并给出“符合”、“不符合”、“基本符合”与“不适用”判定。</w:t>
      </w:r>
    </w:p>
    <w:p>
      <w:pPr>
        <w:numPr>
          <w:ilvl w:val="0"/>
          <w:numId w:val="0"/>
        </w:numPr>
        <w:tabs>
          <w:tab w:val="left" w:pos="709"/>
        </w:tabs>
        <w:spacing w:line="480" w:lineRule="exact"/>
        <w:ind w:left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整体测评</w:t>
      </w:r>
    </w:p>
    <w:p>
      <w:pPr>
        <w:spacing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分析测评对象“部分符合”、“不符合”项、层面、区域与其他项、层面、区域的关联互补关系，分析系统整体结构的安全性，安全防范的合理性。</w:t>
      </w:r>
    </w:p>
    <w:p>
      <w:pPr>
        <w:numPr>
          <w:ilvl w:val="0"/>
          <w:numId w:val="0"/>
        </w:numPr>
        <w:tabs>
          <w:tab w:val="left" w:pos="709"/>
        </w:tabs>
        <w:spacing w:line="480" w:lineRule="exact"/>
        <w:ind w:left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风险分析</w:t>
      </w:r>
    </w:p>
    <w:p>
      <w:pPr>
        <w:spacing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汇总整体信息并分析、判断“部分符合”与“不符合”项所产生的脆弱性被威胁利用的可能性，分析被测信息系统面临的安全风险。</w:t>
      </w:r>
    </w:p>
    <w:p>
      <w:pPr>
        <w:numPr>
          <w:ilvl w:val="0"/>
          <w:numId w:val="0"/>
        </w:numPr>
        <w:tabs>
          <w:tab w:val="left" w:pos="709"/>
        </w:tabs>
        <w:spacing w:line="480" w:lineRule="exact"/>
        <w:ind w:left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形成等级测评结论</w:t>
      </w:r>
    </w:p>
    <w:p>
      <w:pPr>
        <w:spacing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分析信息系统保护现状与等级保护基本要求之间的差距并形成等级测评结论。</w:t>
      </w:r>
    </w:p>
    <w:p>
      <w:pPr>
        <w:numPr>
          <w:ilvl w:val="0"/>
          <w:numId w:val="0"/>
        </w:numPr>
        <w:tabs>
          <w:tab w:val="left" w:pos="709"/>
        </w:tabs>
        <w:spacing w:line="480" w:lineRule="exact"/>
        <w:ind w:left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编制测评报告</w:t>
      </w:r>
    </w:p>
    <w:p>
      <w:pPr>
        <w:spacing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整理相关信息、数据编制网络《信息系统安全等级测评报告》，并给出安全加固和安全建设建议。</w:t>
      </w:r>
    </w:p>
    <w:p>
      <w:pPr>
        <w:pStyle w:val="24"/>
        <w:spacing w:before="100" w:beforeAutospacing="1" w:line="480" w:lineRule="exact"/>
        <w:ind w:firstLine="472" w:firstLineChars="196"/>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四、测评协作事项</w:t>
      </w:r>
    </w:p>
    <w:p>
      <w:pPr>
        <w:spacing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甲方应负责向乙方提供实施网络信息系统安全等级测评所必需的各类信息和文档资料（包括网络结构拓扑图、系统配置、业务流程、操作记录、管理制度、会议纪要等），提供工作空间、办公设施和上机环境等。</w:t>
      </w:r>
    </w:p>
    <w:p>
      <w:pPr>
        <w:spacing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2．甲方应指定工作人员负责与乙方联系等级测评相关工作事宜，并由网络信息系统主管领导牵头组建等级测评工作小组配合乙方完成信息系统等级测评工作。</w:t>
      </w:r>
    </w:p>
    <w:p>
      <w:pPr>
        <w:spacing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3．乙方应预先书面告知甲方需要提供的被测系统信息和文档资料名称及具体要求，在现场测评工作中发现与提供资料信息不符的，应及时反馈甲方。</w:t>
      </w:r>
    </w:p>
    <w:p>
      <w:pPr>
        <w:spacing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4．等级测评活动应在确保甲方网络信息系统正常运行的前提下开展，若某些测评活动可能影响被测系统正常运行的，乙方应事先告知甲方，并协助其采取相应的预防措施或调整测评策略。</w:t>
      </w:r>
    </w:p>
    <w:p>
      <w:pPr>
        <w:spacing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TW"/>
        </w:rPr>
        <w:t>乙方在甲方现场</w:t>
      </w:r>
      <w:r>
        <w:rPr>
          <w:rFonts w:hint="eastAsia" w:ascii="宋体" w:hAnsi="宋体" w:eastAsia="宋体" w:cs="宋体"/>
          <w:color w:val="auto"/>
          <w:sz w:val="24"/>
          <w:szCs w:val="24"/>
          <w:highlight w:val="none"/>
        </w:rPr>
        <w:t>开展测评活动，</w:t>
      </w:r>
      <w:r>
        <w:rPr>
          <w:rFonts w:hint="eastAsia" w:ascii="宋体" w:hAnsi="宋体" w:eastAsia="宋体" w:cs="宋体"/>
          <w:color w:val="auto"/>
          <w:sz w:val="24"/>
          <w:szCs w:val="24"/>
          <w:highlight w:val="none"/>
          <w:lang w:eastAsia="zh-TW"/>
        </w:rPr>
        <w:t>应遵守甲方的</w:t>
      </w:r>
      <w:r>
        <w:rPr>
          <w:rFonts w:hint="eastAsia" w:ascii="宋体" w:hAnsi="宋体" w:eastAsia="宋体" w:cs="宋体"/>
          <w:color w:val="auto"/>
          <w:sz w:val="24"/>
          <w:szCs w:val="24"/>
          <w:highlight w:val="none"/>
        </w:rPr>
        <w:t>作息制度与办公制度。</w:t>
      </w:r>
    </w:p>
    <w:p>
      <w:pPr>
        <w:pStyle w:val="24"/>
        <w:spacing w:before="100" w:beforeAutospacing="1" w:line="480" w:lineRule="exact"/>
        <w:ind w:firstLine="472" w:firstLineChars="196"/>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五、费用及支付方式</w:t>
      </w:r>
    </w:p>
    <w:p>
      <w:pPr>
        <w:spacing w:line="480" w:lineRule="exact"/>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本次等级测评服务费用总额为</w:t>
      </w:r>
      <w:r>
        <w:rPr>
          <w:rFonts w:hint="eastAsia" w:ascii="宋体" w:hAnsi="宋体" w:eastAsia="宋体" w:cs="宋体"/>
          <w:color w:val="auto"/>
          <w:sz w:val="24"/>
          <w:szCs w:val="24"/>
          <w:highlight w:val="none"/>
          <w:u w:val="single"/>
        </w:rPr>
        <w:t>人民币（大写）     万元整 ¥   （含</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%专用增值税专用发票税率）</w:t>
      </w:r>
      <w:r>
        <w:rPr>
          <w:rFonts w:hint="eastAsia" w:ascii="宋体" w:hAnsi="宋体" w:eastAsia="宋体" w:cs="宋体"/>
          <w:color w:val="auto"/>
          <w:sz w:val="24"/>
          <w:szCs w:val="24"/>
          <w:highlight w:val="none"/>
        </w:rPr>
        <w:t>，支付方式为</w:t>
      </w:r>
      <w:r>
        <w:rPr>
          <w:rFonts w:hint="eastAsia" w:ascii="宋体" w:hAnsi="宋体" w:eastAsia="宋体" w:cs="宋体"/>
          <w:color w:val="auto"/>
          <w:sz w:val="24"/>
          <w:szCs w:val="24"/>
          <w:highlight w:val="none"/>
          <w:u w:val="single"/>
        </w:rPr>
        <w:t>本项目供应到位符合供需要求，验收合格签字后7个工作日内一次性支付合同总金额的100％。</w:t>
      </w:r>
    </w:p>
    <w:p>
      <w:pPr>
        <w:spacing w:line="480" w:lineRule="exact"/>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履约担保：乙方签约前提交成交合同金额的10%作为履约保证金。本项目结束后15日内，且甲乙双方无未了纠纷的，甲方无息返还前述履约保证金。</w:t>
      </w:r>
    </w:p>
    <w:p>
      <w:pPr>
        <w:widowControl/>
        <w:spacing w:line="480" w:lineRule="exact"/>
        <w:ind w:left="439" w:leftChars="209"/>
        <w:jc w:val="left"/>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甲方开户信息：单位名称：南通日报社</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纳税人识别号：12320600467542815H</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地址电话：南通市崇川区世纪大道8号0513-68218826</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开户行及账号：建行南通崇川支行32001642736052505639</w:t>
      </w:r>
    </w:p>
    <w:p>
      <w:pPr>
        <w:spacing w:before="100" w:beforeAutospacing="1" w:line="480" w:lineRule="exact"/>
        <w:ind w:left="51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六、其它</w:t>
      </w:r>
    </w:p>
    <w:p>
      <w:pPr>
        <w:spacing w:line="48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保密条款</w:t>
      </w:r>
    </w:p>
    <w:p>
      <w:pPr>
        <w:spacing w:line="48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保证对甲方提供的文件、资料或者乙方在签订和履行本合同项下义务时知悉的任何关于甲方的信息、资料承担保密责任，未经甲方事先书面同意，不得将此类信息、文件、资料交付或泄露给任何第三方，也不得作任何除本合同目的之外的其它用途。对于甲方所提供的文件、资料，甲方可以在本合同目的达到后随时要求乙方返还或者在甲方监督下予以销毁。乙方基于诚信合作，不得对外发表不利于甲方的言论。若甲方不愿第三方知悉存在本合同或合同内容，则乙方不得将甲方公开列为客户名单，或泄露本合同内容。保密期限不受本合同期限的限制，在本合同履行完毕后5年内，保密信息接受方仍应承担保密义务。</w:t>
      </w:r>
    </w:p>
    <w:p>
      <w:pPr>
        <w:spacing w:line="48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违约责任</w:t>
      </w:r>
    </w:p>
    <w:p>
      <w:pPr>
        <w:spacing w:line="48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①如果乙方未履行约定的保密义务，除立即采取措施予以改正外，还需向甲方支付本合同金额10%的违约金，上述违约金不足以弥补甲方损失时，乙方应予以赔偿。</w:t>
      </w:r>
    </w:p>
    <w:p>
      <w:pPr>
        <w:spacing w:line="48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②如果由于甲方或乙方原因无法及时开展等级测评工作的，双方本着友好协商的原则，经过商议后延迟开展测评工作。</w:t>
      </w:r>
    </w:p>
    <w:p>
      <w:pPr>
        <w:spacing w:line="48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不可抗力</w:t>
      </w:r>
    </w:p>
    <w:p>
      <w:pPr>
        <w:spacing w:line="48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①由于不可抗力致使合同无法履行的，受不可抗力影响一方应立即将不能履行本合同的事实书面通知对方，并在不可抗力发生之日起十五日内提供有关相关政府部门或公证机关出具的证明文件。</w:t>
      </w:r>
    </w:p>
    <w:p>
      <w:pPr>
        <w:spacing w:line="48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本合同在不可抗力影响范围及其持续期间内可中止履行，本合同执行时间可根据中止的时间相应顺延，双方无须承担违约责任。不可抗力事件消除后，双方应就合同的履行及后续问题进行协商。如果不可抗力原因造成本合同中止履行超过60个工作日，任何一方均有权解除合同。</w:t>
      </w:r>
    </w:p>
    <w:p>
      <w:pPr>
        <w:spacing w:line="48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③一方迟延履行后发生不可抗力的，不能免除责任。</w:t>
      </w:r>
    </w:p>
    <w:p>
      <w:pPr>
        <w:spacing w:line="48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争议解决</w:t>
      </w:r>
    </w:p>
    <w:p>
      <w:pPr>
        <w:spacing w:line="48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本合同引起的或与本合同有关的任何争议，应本着友好合作的态度协商解决；如协商不成，均可向甲方所在地有管辖权的人民法院起诉，通过诉讼方式解决。诉讼期间，除争议内容以外，双方均应继续履行合同约定的其他内容。</w:t>
      </w:r>
    </w:p>
    <w:p>
      <w:pPr>
        <w:spacing w:line="48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5．协议实施过程中，若因主客观原因而导致等级测评完成时间、测评范围与内容、测评人员等发生变更的，经甲、乙双方协商一致后，方可更改本协议并实施。</w:t>
      </w:r>
    </w:p>
    <w:p>
      <w:pPr>
        <w:spacing w:line="48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6．协议实施过程中，因甲方原因造成不良后果的，乙方不承担相关责任；乙方非因不可抗力造成不良后果的，甲方或委托方可视情，部分或全部收回所付费用，并依法追究乙方行政、经济或法律责任。</w:t>
      </w:r>
    </w:p>
    <w:p>
      <w:pPr>
        <w:spacing w:line="48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7．本协议一式伍份，具有同等的法律效力。本协议自甲、乙双方签字、盖章之日起生效。</w:t>
      </w:r>
    </w:p>
    <w:p>
      <w:pPr>
        <w:pStyle w:val="39"/>
        <w:spacing w:line="480" w:lineRule="exact"/>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七、合同的组成部分</w:t>
      </w:r>
    </w:p>
    <w:p>
      <w:pPr>
        <w:spacing w:line="48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本合同条款、中标成交通知书、磋商（招标）文件、响应（投标）文件及响应（投标）人在开标时的书面承诺等构成合同的组成部分</w:t>
      </w:r>
      <w:r>
        <w:rPr>
          <w:rFonts w:hint="eastAsia" w:ascii="宋体" w:hAnsi="宋体" w:eastAsia="宋体" w:cs="宋体"/>
          <w:color w:val="auto"/>
          <w:kern w:val="0"/>
          <w:sz w:val="24"/>
          <w:szCs w:val="24"/>
          <w:highlight w:val="none"/>
        </w:rPr>
        <w:t>，与本合同具有同等法律效力。</w:t>
      </w:r>
    </w:p>
    <w:p>
      <w:pPr>
        <w:pStyle w:val="39"/>
        <w:spacing w:line="480" w:lineRule="exact"/>
        <w:ind w:firstLine="480" w:firstLineChars="200"/>
        <w:rPr>
          <w:rFonts w:hint="eastAsia" w:ascii="宋体" w:hAnsi="宋体" w:eastAsia="宋体" w:cs="宋体"/>
          <w:color w:val="auto"/>
          <w:kern w:val="2"/>
          <w:sz w:val="24"/>
          <w:szCs w:val="24"/>
          <w:highlight w:val="none"/>
        </w:rPr>
      </w:pPr>
    </w:p>
    <w:p>
      <w:pP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 </w:t>
      </w:r>
    </w:p>
    <w:p>
      <w:pPr>
        <w:pStyle w:val="2"/>
        <w:rPr>
          <w:rFonts w:hint="eastAsia"/>
          <w:color w:val="auto"/>
          <w:highlight w:val="none"/>
          <w:lang w:val="en-US" w:eastAsia="zh-CN"/>
        </w:rPr>
      </w:pPr>
    </w:p>
    <w:p>
      <w:pPr>
        <w:pStyle w:val="5"/>
        <w:spacing w:line="240" w:lineRule="auto"/>
        <w:jc w:val="center"/>
        <w:rPr>
          <w:rFonts w:hint="eastAsia" w:ascii="宋体" w:hAnsi="宋体" w:eastAsia="宋体" w:cs="宋体"/>
          <w:color w:val="auto"/>
          <w:sz w:val="24"/>
          <w:szCs w:val="24"/>
          <w:highlight w:val="none"/>
        </w:rPr>
      </w:pPr>
      <w:bookmarkStart w:id="7" w:name="_Toc16982"/>
    </w:p>
    <w:p>
      <w:pPr>
        <w:pStyle w:val="5"/>
        <w:spacing w:line="240" w:lineRule="auto"/>
        <w:jc w:val="both"/>
        <w:rPr>
          <w:rFonts w:hint="eastAsia" w:ascii="宋体" w:hAnsi="宋体" w:eastAsia="宋体" w:cs="宋体"/>
          <w:color w:val="auto"/>
          <w:sz w:val="24"/>
          <w:szCs w:val="24"/>
          <w:highlight w:val="none"/>
        </w:rPr>
      </w:pPr>
    </w:p>
    <w:p>
      <w:pPr>
        <w:rPr>
          <w:rFonts w:hint="eastAsia"/>
          <w:color w:val="auto"/>
          <w:highlight w:val="none"/>
        </w:rPr>
      </w:pPr>
    </w:p>
    <w:p>
      <w:pPr>
        <w:pStyle w:val="5"/>
        <w:spacing w:line="240" w:lineRule="auto"/>
        <w:ind w:firstLine="2249" w:firstLineChars="700"/>
        <w:jc w:val="both"/>
        <w:rPr>
          <w:rFonts w:hint="eastAsia" w:ascii="宋体" w:hAnsi="宋体" w:eastAsia="宋体" w:cs="宋体"/>
          <w:b/>
          <w:color w:val="auto"/>
          <w:kern w:val="0"/>
          <w:sz w:val="32"/>
          <w:szCs w:val="32"/>
          <w:highlight w:val="none"/>
          <w:lang w:val="en-US" w:eastAsia="zh-CN"/>
        </w:rPr>
      </w:pPr>
      <w:r>
        <w:rPr>
          <w:rFonts w:hint="eastAsia" w:ascii="宋体" w:hAnsi="宋体" w:eastAsia="宋体" w:cs="宋体"/>
          <w:color w:val="auto"/>
          <w:sz w:val="32"/>
          <w:szCs w:val="32"/>
          <w:highlight w:val="none"/>
        </w:rPr>
        <w:t>第六部分  质疑提出和处理</w:t>
      </w:r>
      <w:bookmarkEnd w:id="7"/>
      <w:r>
        <w:rPr>
          <w:rFonts w:hint="eastAsia" w:ascii="宋体" w:hAnsi="宋体" w:cs="宋体"/>
          <w:color w:val="auto"/>
          <w:sz w:val="32"/>
          <w:szCs w:val="32"/>
          <w:highlight w:val="none"/>
          <w:lang w:val="en-US" w:eastAsia="zh-CN"/>
        </w:rPr>
        <w:t xml:space="preserve"> </w:t>
      </w:r>
    </w:p>
    <w:p>
      <w:pPr>
        <w:autoSpaceDE w:val="0"/>
        <w:autoSpaceDN w:val="0"/>
        <w:adjustRightInd w:val="0"/>
        <w:snapToGrid w:val="0"/>
        <w:spacing w:line="240" w:lineRule="auto"/>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一、质疑的提出</w:t>
      </w:r>
    </w:p>
    <w:p>
      <w:pPr>
        <w:autoSpaceDE w:val="0"/>
        <w:autoSpaceDN w:val="0"/>
        <w:adjustRightInd w:val="0"/>
        <w:snapToGrid w:val="0"/>
        <w:spacing w:line="500" w:lineRule="exact"/>
        <w:ind w:firstLine="480" w:firstLineChars="200"/>
        <w:contextualSpacing/>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1.质疑人必须是直接参加本次磋商采购活动的当事人。</w:t>
      </w:r>
    </w:p>
    <w:p>
      <w:pPr>
        <w:autoSpaceDE w:val="0"/>
        <w:autoSpaceDN w:val="0"/>
        <w:adjustRightInd w:val="0"/>
        <w:snapToGrid w:val="0"/>
        <w:spacing w:line="500" w:lineRule="exact"/>
        <w:ind w:firstLine="480" w:firstLineChars="200"/>
        <w:contextualSpacing/>
        <w:rPr>
          <w:rFonts w:hint="eastAsia" w:ascii="宋体" w:hAnsi="宋体" w:eastAsia="宋体" w:cs="宋体"/>
          <w:color w:val="auto"/>
          <w:kern w:val="0"/>
          <w:sz w:val="24"/>
          <w:szCs w:val="24"/>
          <w:highlight w:val="none"/>
          <w:lang w:val="zh-CN"/>
        </w:rPr>
      </w:pPr>
      <w:r>
        <w:rPr>
          <w:rFonts w:hint="eastAsia" w:ascii="宋体" w:hAnsi="宋体" w:eastAsia="宋体" w:cs="宋体"/>
          <w:color w:val="auto"/>
          <w:sz w:val="24"/>
          <w:szCs w:val="24"/>
          <w:highlight w:val="none"/>
        </w:rPr>
        <w:t>2.领取磋商采购文件的供应商应根据第二部分“供应商磋商须知”中“第一款中的第</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项、</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项”的约定提出；响应文件接收截止后，供应商未进行响应登记的，不能就响应文件接收截止后的采购过程、成交结果提出质疑；在开标评审过程中，凡主持人或评委明确提出须由响应人确认的事项，响应人当场无异议的，事后不得提出质疑。</w:t>
      </w:r>
    </w:p>
    <w:p>
      <w:pPr>
        <w:autoSpaceDE w:val="0"/>
        <w:autoSpaceDN w:val="0"/>
        <w:adjustRightInd w:val="0"/>
        <w:snapToGrid w:val="0"/>
        <w:spacing w:line="500" w:lineRule="exact"/>
        <w:ind w:firstLine="480" w:firstLineChars="200"/>
        <w:contextualSpacing/>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zh-CN"/>
        </w:rPr>
        <w:t>.提出质疑时，必须坚持“谁主张，谁举证”、“实事求是”的原则，不能臆测。属于须由法定部门调查、侦查或先行作出相关认定的事项，质疑人应当依法申请具有法定职权的部门查清、认定，并将相关结果提供给采购人。采购人及采购单位不具有法定调查、认定权限。</w:t>
      </w:r>
    </w:p>
    <w:p>
      <w:pPr>
        <w:snapToGrid w:val="0"/>
        <w:spacing w:line="500" w:lineRule="exact"/>
        <w:ind w:firstLine="480" w:firstLine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4.对本次磋商采购有质疑的，实行实名制，不得进行虚假、恶意质疑。质疑人应在质疑有效期内以书面形式</w:t>
      </w:r>
      <w:r>
        <w:rPr>
          <w:rFonts w:hint="eastAsia" w:ascii="宋体" w:hAnsi="宋体" w:eastAsia="宋体" w:cs="宋体"/>
          <w:color w:val="auto"/>
          <w:kern w:val="0"/>
          <w:sz w:val="24"/>
          <w:szCs w:val="24"/>
          <w:highlight w:val="none"/>
          <w:lang w:val="zh-CN"/>
        </w:rPr>
        <w:t>提出《质疑函》（格式请到南通政府采购网上下载）</w:t>
      </w:r>
      <w:r>
        <w:rPr>
          <w:rFonts w:hint="eastAsia" w:ascii="宋体" w:hAnsi="宋体" w:eastAsia="宋体" w:cs="宋体"/>
          <w:color w:val="auto"/>
          <w:sz w:val="24"/>
          <w:szCs w:val="24"/>
          <w:highlight w:val="none"/>
        </w:rPr>
        <w:t>，《质疑函》内容应</w:t>
      </w:r>
      <w:r>
        <w:rPr>
          <w:rFonts w:hint="eastAsia" w:ascii="宋体" w:hAnsi="宋体" w:eastAsia="宋体" w:cs="宋体"/>
          <w:color w:val="auto"/>
          <w:kern w:val="0"/>
          <w:sz w:val="24"/>
          <w:szCs w:val="24"/>
          <w:highlight w:val="none"/>
          <w:lang w:val="zh-CN"/>
        </w:rPr>
        <w:t>包括</w:t>
      </w:r>
      <w:r>
        <w:rPr>
          <w:rFonts w:hint="eastAsia" w:ascii="宋体" w:hAnsi="宋体" w:eastAsia="宋体" w:cs="宋体"/>
          <w:color w:val="auto"/>
          <w:sz w:val="24"/>
          <w:szCs w:val="24"/>
          <w:highlight w:val="none"/>
        </w:rPr>
        <w:t>质疑事项、主要内容、事实依据、适应法规条款、佐证材料等。同时，</w:t>
      </w:r>
      <w:r>
        <w:rPr>
          <w:rFonts w:hint="eastAsia" w:ascii="宋体" w:hAnsi="宋体" w:eastAsia="宋体" w:cs="宋体"/>
          <w:color w:val="auto"/>
          <w:kern w:val="0"/>
          <w:sz w:val="24"/>
          <w:szCs w:val="24"/>
          <w:highlight w:val="none"/>
        </w:rPr>
        <w:t>质疑人应保证其提出的质疑内容及</w:t>
      </w:r>
      <w:r>
        <w:rPr>
          <w:rFonts w:hint="eastAsia" w:ascii="宋体" w:hAnsi="宋体" w:eastAsia="宋体" w:cs="宋体"/>
          <w:color w:val="auto"/>
          <w:sz w:val="24"/>
          <w:szCs w:val="24"/>
          <w:highlight w:val="none"/>
        </w:rPr>
        <w:t>相关佐证材料</w:t>
      </w:r>
      <w:r>
        <w:rPr>
          <w:rFonts w:hint="eastAsia" w:ascii="宋体" w:hAnsi="宋体" w:eastAsia="宋体" w:cs="宋体"/>
          <w:color w:val="auto"/>
          <w:kern w:val="0"/>
          <w:sz w:val="24"/>
          <w:szCs w:val="24"/>
          <w:highlight w:val="none"/>
        </w:rPr>
        <w:t>的真实性及来源的合法性，并承担相应的法律责任。</w:t>
      </w:r>
    </w:p>
    <w:p>
      <w:pPr>
        <w:snapToGrid w:val="0"/>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对不能提供</w:t>
      </w:r>
      <w:r>
        <w:rPr>
          <w:rFonts w:hint="eastAsia" w:ascii="宋体" w:hAnsi="宋体" w:eastAsia="宋体" w:cs="宋体"/>
          <w:color w:val="auto"/>
          <w:sz w:val="24"/>
          <w:szCs w:val="24"/>
          <w:highlight w:val="none"/>
        </w:rPr>
        <w:t>相关佐证材料的、涉及商业秘密的、非书面形式的、非送达的、匿名的《质疑函》将不予受理。</w:t>
      </w:r>
    </w:p>
    <w:p>
      <w:pPr>
        <w:snapToGrid w:val="0"/>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相关佐证材料要具备客观性、关联性、合法性，无法查实的（如宣传册、媒体报道、猜测、推理等）不能作为佐证材料。</w:t>
      </w:r>
    </w:p>
    <w:p>
      <w:pPr>
        <w:snapToGrid w:val="0"/>
        <w:spacing w:line="500" w:lineRule="exact"/>
        <w:ind w:firstLine="480" w:firstLine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采购人及采购单位</w:t>
      </w:r>
      <w:r>
        <w:rPr>
          <w:rFonts w:hint="eastAsia" w:ascii="宋体" w:hAnsi="宋体" w:eastAsia="宋体" w:cs="宋体"/>
          <w:color w:val="auto"/>
          <w:kern w:val="0"/>
          <w:sz w:val="24"/>
          <w:szCs w:val="24"/>
          <w:highlight w:val="none"/>
        </w:rPr>
        <w:t>不负责搜集相关佐证材料等工作。</w:t>
      </w:r>
    </w:p>
    <w:p>
      <w:pPr>
        <w:autoSpaceDE w:val="0"/>
        <w:autoSpaceDN w:val="0"/>
        <w:adjustRightInd w:val="0"/>
        <w:snapToGrid w:val="0"/>
        <w:spacing w:line="500" w:lineRule="exact"/>
        <w:ind w:firstLine="482" w:firstLineChars="200"/>
        <w:contextualSpacing/>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二、《质疑函》的受理和回复</w:t>
      </w:r>
    </w:p>
    <w:p>
      <w:pPr>
        <w:autoSpaceDE w:val="0"/>
        <w:autoSpaceDN w:val="0"/>
        <w:adjustRightInd w:val="0"/>
        <w:snapToGrid w:val="0"/>
        <w:spacing w:line="500" w:lineRule="exact"/>
        <w:ind w:firstLine="480" w:firstLineChars="200"/>
        <w:contextualSpacing/>
        <w:rPr>
          <w:rFonts w:hint="eastAsia" w:ascii="宋体" w:hAnsi="宋体" w:eastAsia="宋体" w:cs="宋体"/>
          <w:color w:val="auto"/>
          <w:kern w:val="0"/>
          <w:sz w:val="24"/>
          <w:szCs w:val="24"/>
          <w:highlight w:val="none"/>
          <w:lang w:val="zh-CN"/>
        </w:rPr>
      </w:pPr>
      <w:r>
        <w:rPr>
          <w:rFonts w:hint="eastAsia" w:ascii="宋体" w:hAnsi="宋体" w:eastAsia="宋体" w:cs="宋体"/>
          <w:color w:val="auto"/>
          <w:sz w:val="24"/>
          <w:szCs w:val="24"/>
          <w:highlight w:val="none"/>
        </w:rPr>
        <w:t>1.《质疑函》须由质疑人的法定代表人或参加本次磋商授权人</w:t>
      </w:r>
      <w:r>
        <w:rPr>
          <w:rFonts w:hint="eastAsia" w:ascii="宋体" w:hAnsi="宋体" w:eastAsia="宋体" w:cs="宋体"/>
          <w:color w:val="auto"/>
          <w:kern w:val="0"/>
          <w:sz w:val="24"/>
          <w:szCs w:val="24"/>
          <w:highlight w:val="none"/>
          <w:lang w:val="zh-CN"/>
        </w:rPr>
        <w:t>送达采购单位及采购人。</w:t>
      </w:r>
    </w:p>
    <w:p>
      <w:pPr>
        <w:autoSpaceDE w:val="0"/>
        <w:autoSpaceDN w:val="0"/>
        <w:adjustRightInd w:val="0"/>
        <w:snapToGrid w:val="0"/>
        <w:spacing w:line="500" w:lineRule="exact"/>
        <w:ind w:firstLine="480" w:firstLineChars="200"/>
        <w:contextualSpacing/>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2.对符合提出质疑要求的，采购人及采购单位签收并出具《质疑受理通知书》。在处理过程中，发现需要质疑人进一步补充相关佐证材料的，请质疑人在规定的时间内提供，质疑回复时间相应顺延。质疑人不能按时提供相关佐证材料的，视同放弃质疑。</w:t>
      </w:r>
    </w:p>
    <w:p>
      <w:pPr>
        <w:autoSpaceDE w:val="0"/>
        <w:autoSpaceDN w:val="0"/>
        <w:adjustRightInd w:val="0"/>
        <w:snapToGrid w:val="0"/>
        <w:spacing w:line="500" w:lineRule="exact"/>
        <w:ind w:firstLine="480" w:firstLineChars="200"/>
        <w:contextualSpacing/>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3.对不符合提出质疑要求的，出具《质疑退回通知书》并提出相关补充材料要求，质疑人未在规定的时间内提供补充佐证材料的，视同放弃质疑。</w:t>
      </w:r>
    </w:p>
    <w:p>
      <w:pPr>
        <w:autoSpaceDE w:val="0"/>
        <w:autoSpaceDN w:val="0"/>
        <w:adjustRightInd w:val="0"/>
        <w:snapToGrid w:val="0"/>
        <w:spacing w:line="500" w:lineRule="exact"/>
        <w:ind w:firstLine="480" w:firstLine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4.采购</w:t>
      </w:r>
      <w:r>
        <w:rPr>
          <w:rFonts w:hint="eastAsia" w:ascii="宋体" w:hAnsi="宋体" w:eastAsia="宋体" w:cs="宋体"/>
          <w:color w:val="auto"/>
          <w:kern w:val="0"/>
          <w:sz w:val="24"/>
          <w:szCs w:val="24"/>
          <w:highlight w:val="none"/>
        </w:rPr>
        <w:t>人及</w:t>
      </w:r>
      <w:r>
        <w:rPr>
          <w:rFonts w:hint="eastAsia" w:ascii="宋体" w:hAnsi="宋体" w:eastAsia="宋体" w:cs="宋体"/>
          <w:color w:val="auto"/>
          <w:kern w:val="0"/>
          <w:sz w:val="24"/>
          <w:szCs w:val="24"/>
          <w:highlight w:val="none"/>
          <w:lang w:val="zh-CN"/>
        </w:rPr>
        <w:t>采购单位</w:t>
      </w:r>
      <w:r>
        <w:rPr>
          <w:rFonts w:hint="eastAsia" w:ascii="宋体" w:hAnsi="宋体" w:eastAsia="宋体" w:cs="宋体"/>
          <w:color w:val="auto"/>
          <w:kern w:val="0"/>
          <w:sz w:val="24"/>
          <w:szCs w:val="24"/>
          <w:highlight w:val="none"/>
        </w:rPr>
        <w:t>负责将质疑人提出的质疑相关材料提供给相关专家或评委审核，并将审核意见回复质疑人。</w:t>
      </w:r>
    </w:p>
    <w:p>
      <w:pPr>
        <w:widowControl/>
        <w:tabs>
          <w:tab w:val="left" w:pos="0"/>
        </w:tabs>
        <w:snapToGrid w:val="0"/>
        <w:spacing w:line="500" w:lineRule="exact"/>
        <w:ind w:firstLine="480" w:firstLine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autoSpaceDE w:val="0"/>
        <w:autoSpaceDN w:val="0"/>
        <w:adjustRightInd w:val="0"/>
        <w:snapToGrid w:val="0"/>
        <w:spacing w:line="500" w:lineRule="exact"/>
        <w:ind w:firstLine="480" w:firstLineChars="200"/>
        <w:contextualSpacing/>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rPr>
        <w:t>5.</w:t>
      </w:r>
      <w:r>
        <w:rPr>
          <w:rFonts w:hint="eastAsia" w:ascii="宋体" w:hAnsi="宋体" w:eastAsia="宋体" w:cs="宋体"/>
          <w:color w:val="auto"/>
          <w:kern w:val="0"/>
          <w:sz w:val="24"/>
          <w:szCs w:val="24"/>
          <w:highlight w:val="none"/>
          <w:lang w:val="zh-CN"/>
        </w:rPr>
        <w:t>因质疑情况复杂，组织论证或审查时间较长的，采购人及采购单位以书面形式通知质疑人，可适当延长质疑回复处理时间。</w:t>
      </w:r>
    </w:p>
    <w:p>
      <w:pPr>
        <w:autoSpaceDE w:val="0"/>
        <w:autoSpaceDN w:val="0"/>
        <w:adjustRightInd w:val="0"/>
        <w:snapToGrid w:val="0"/>
        <w:spacing w:line="520" w:lineRule="exact"/>
        <w:ind w:firstLine="482" w:firstLineChars="200"/>
        <w:contextualSpacing/>
        <w:rPr>
          <w:rFonts w:hint="eastAsia" w:ascii="宋体" w:hAnsi="宋体" w:eastAsia="宋体" w:cs="宋体"/>
          <w:b/>
          <w:color w:val="auto"/>
          <w:kern w:val="0"/>
          <w:sz w:val="24"/>
          <w:szCs w:val="24"/>
          <w:highlight w:val="none"/>
          <w:lang w:val="zh-CN"/>
        </w:rPr>
      </w:pPr>
      <w:r>
        <w:rPr>
          <w:rFonts w:hint="eastAsia" w:ascii="宋体" w:hAnsi="宋体" w:eastAsia="宋体" w:cs="宋体"/>
          <w:b/>
          <w:color w:val="auto"/>
          <w:kern w:val="0"/>
          <w:sz w:val="24"/>
          <w:szCs w:val="24"/>
          <w:highlight w:val="none"/>
          <w:lang w:val="zh-CN"/>
        </w:rPr>
        <w:t>三、质疑处理</w:t>
      </w:r>
    </w:p>
    <w:p>
      <w:pPr>
        <w:autoSpaceDE w:val="0"/>
        <w:autoSpaceDN w:val="0"/>
        <w:adjustRightInd w:val="0"/>
        <w:snapToGrid w:val="0"/>
        <w:spacing w:line="520" w:lineRule="exact"/>
        <w:ind w:firstLine="600" w:firstLineChars="250"/>
        <w:contextualSpacing/>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1.质疑成立的处理。采购人终止采购，并建议有关部门给相关当事人予以处理。</w:t>
      </w:r>
    </w:p>
    <w:p>
      <w:pPr>
        <w:snapToGrid w:val="0"/>
        <w:spacing w:line="520" w:lineRule="exact"/>
        <w:ind w:firstLine="570"/>
        <w:contextualSpacing/>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2.质疑不成立的处理。</w:t>
      </w:r>
    </w:p>
    <w:p>
      <w:pPr>
        <w:snapToGrid w:val="0"/>
        <w:spacing w:line="520" w:lineRule="exact"/>
        <w:ind w:firstLine="570"/>
        <w:contextualSpacing/>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1）质疑人书面《申请撤回质疑函》的，不作违约处理。</w:t>
      </w:r>
    </w:p>
    <w:p>
      <w:pPr>
        <w:snapToGrid w:val="0"/>
        <w:spacing w:line="520" w:lineRule="exact"/>
        <w:ind w:firstLine="480" w:firstLineChars="200"/>
        <w:contextualSpacing/>
        <w:rPr>
          <w:rFonts w:hint="eastAsia" w:ascii="宋体" w:hAnsi="宋体" w:eastAsia="宋体" w:cs="宋体"/>
          <w:color w:val="auto"/>
          <w:kern w:val="0"/>
          <w:sz w:val="24"/>
          <w:szCs w:val="24"/>
          <w:highlight w:val="none"/>
          <w:lang w:val="zh-CN"/>
        </w:rPr>
      </w:pPr>
      <w:r>
        <w:rPr>
          <w:rFonts w:hint="eastAsia" w:ascii="宋体" w:hAnsi="宋体" w:eastAsia="宋体" w:cs="宋体"/>
          <w:color w:val="auto"/>
          <w:sz w:val="24"/>
          <w:szCs w:val="24"/>
          <w:highlight w:val="none"/>
        </w:rPr>
        <w:t>2）质疑人在规定的时间内不配合进行质疑调查处理的，按自动撤回《质疑函》处理。</w:t>
      </w:r>
    </w:p>
    <w:p>
      <w:pPr>
        <w:snapToGrid w:val="0"/>
        <w:spacing w:line="520" w:lineRule="exact"/>
        <w:ind w:firstLine="480" w:firstLineChars="200"/>
        <w:contextualSpacing/>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3）质疑人不按《质疑函》格式就提出质疑的，作违约处理。采购</w:t>
      </w:r>
      <w:r>
        <w:rPr>
          <w:rFonts w:hint="eastAsia" w:ascii="宋体" w:hAnsi="宋体" w:eastAsia="宋体" w:cs="宋体"/>
          <w:color w:val="auto"/>
          <w:sz w:val="24"/>
          <w:szCs w:val="24"/>
          <w:highlight w:val="none"/>
        </w:rPr>
        <w:t>人有权收取其保证金的10%作为违约金；同时，视情</w:t>
      </w:r>
      <w:r>
        <w:rPr>
          <w:rFonts w:hint="eastAsia" w:ascii="宋体" w:hAnsi="宋体" w:eastAsia="宋体" w:cs="宋体"/>
          <w:color w:val="auto"/>
          <w:kern w:val="0"/>
          <w:sz w:val="24"/>
          <w:szCs w:val="24"/>
          <w:highlight w:val="none"/>
          <w:lang w:val="zh-CN"/>
        </w:rPr>
        <w:t>列入不良供应商名单。</w:t>
      </w:r>
    </w:p>
    <w:p>
      <w:pPr>
        <w:snapToGrid w:val="0"/>
        <w:spacing w:line="520" w:lineRule="exact"/>
        <w:ind w:firstLine="460" w:firstLineChars="192"/>
        <w:contextualSpacing/>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4）质疑人虽提供了相关</w:t>
      </w:r>
      <w:r>
        <w:rPr>
          <w:rFonts w:hint="eastAsia" w:ascii="宋体" w:hAnsi="宋体" w:eastAsia="宋体" w:cs="宋体"/>
          <w:color w:val="auto"/>
          <w:sz w:val="24"/>
          <w:szCs w:val="24"/>
          <w:highlight w:val="none"/>
        </w:rPr>
        <w:t>佐证材料</w:t>
      </w:r>
      <w:r>
        <w:rPr>
          <w:rFonts w:hint="eastAsia" w:ascii="宋体" w:hAnsi="宋体" w:eastAsia="宋体" w:cs="宋体"/>
          <w:color w:val="auto"/>
          <w:kern w:val="0"/>
          <w:sz w:val="24"/>
          <w:szCs w:val="24"/>
          <w:highlight w:val="none"/>
          <w:lang w:val="zh-CN"/>
        </w:rPr>
        <w:t>，但不能证明其质疑成立的，采购人请质疑人补充相关</w:t>
      </w:r>
      <w:r>
        <w:rPr>
          <w:rFonts w:hint="eastAsia" w:ascii="宋体" w:hAnsi="宋体" w:eastAsia="宋体" w:cs="宋体"/>
          <w:color w:val="auto"/>
          <w:sz w:val="24"/>
          <w:szCs w:val="24"/>
          <w:highlight w:val="none"/>
        </w:rPr>
        <w:t>佐证材料</w:t>
      </w:r>
      <w:r>
        <w:rPr>
          <w:rFonts w:hint="eastAsia" w:ascii="宋体" w:hAnsi="宋体" w:eastAsia="宋体" w:cs="宋体"/>
          <w:color w:val="auto"/>
          <w:kern w:val="0"/>
          <w:sz w:val="24"/>
          <w:szCs w:val="24"/>
          <w:highlight w:val="none"/>
          <w:lang w:val="zh-CN"/>
        </w:rPr>
        <w:t>，仍不能证明其质疑成立的，作违约处理。采购</w:t>
      </w:r>
      <w:r>
        <w:rPr>
          <w:rFonts w:hint="eastAsia" w:ascii="宋体" w:hAnsi="宋体" w:eastAsia="宋体" w:cs="宋体"/>
          <w:color w:val="auto"/>
          <w:sz w:val="24"/>
          <w:szCs w:val="24"/>
          <w:highlight w:val="none"/>
        </w:rPr>
        <w:t>人有权收取其保证金的50%作为违约金；同时，</w:t>
      </w:r>
      <w:r>
        <w:rPr>
          <w:rFonts w:hint="eastAsia" w:ascii="宋体" w:hAnsi="宋体" w:eastAsia="宋体" w:cs="宋体"/>
          <w:color w:val="auto"/>
          <w:kern w:val="0"/>
          <w:sz w:val="24"/>
          <w:szCs w:val="24"/>
          <w:highlight w:val="none"/>
          <w:lang w:val="zh-CN"/>
        </w:rPr>
        <w:t>列入不良供应商名单。</w:t>
      </w:r>
    </w:p>
    <w:p>
      <w:pPr>
        <w:snapToGrid w:val="0"/>
        <w:spacing w:line="520" w:lineRule="exact"/>
        <w:ind w:firstLine="460" w:firstLineChars="192"/>
        <w:contextualSpacing/>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5）质疑人不能提供相关</w:t>
      </w:r>
      <w:r>
        <w:rPr>
          <w:rFonts w:hint="eastAsia" w:ascii="宋体" w:hAnsi="宋体" w:eastAsia="宋体" w:cs="宋体"/>
          <w:color w:val="auto"/>
          <w:sz w:val="24"/>
          <w:szCs w:val="24"/>
          <w:highlight w:val="none"/>
        </w:rPr>
        <w:t>佐证材料</w:t>
      </w:r>
      <w:r>
        <w:rPr>
          <w:rFonts w:hint="eastAsia" w:ascii="宋体" w:hAnsi="宋体" w:eastAsia="宋体" w:cs="宋体"/>
          <w:color w:val="auto"/>
          <w:kern w:val="0"/>
          <w:sz w:val="24"/>
          <w:szCs w:val="24"/>
          <w:highlight w:val="none"/>
          <w:lang w:val="zh-CN"/>
        </w:rPr>
        <w:t>的，采购人已指出，质疑人仍然坚持提出质疑的，作违约处理。采购</w:t>
      </w:r>
      <w:r>
        <w:rPr>
          <w:rFonts w:hint="eastAsia" w:ascii="宋体" w:hAnsi="宋体" w:eastAsia="宋体" w:cs="宋体"/>
          <w:color w:val="auto"/>
          <w:sz w:val="24"/>
          <w:szCs w:val="24"/>
          <w:highlight w:val="none"/>
        </w:rPr>
        <w:t>人有权收取其保证金的100%作为违约金；取消相应会员资格6个月，同时，</w:t>
      </w:r>
      <w:r>
        <w:rPr>
          <w:rFonts w:hint="eastAsia" w:ascii="宋体" w:hAnsi="宋体" w:eastAsia="宋体" w:cs="宋体"/>
          <w:color w:val="auto"/>
          <w:kern w:val="0"/>
          <w:sz w:val="24"/>
          <w:szCs w:val="24"/>
          <w:highlight w:val="none"/>
          <w:lang w:val="zh-CN"/>
        </w:rPr>
        <w:t>列入不良供应商名单。</w:t>
      </w:r>
    </w:p>
    <w:p>
      <w:pPr>
        <w:snapToGrid w:val="0"/>
        <w:spacing w:line="520" w:lineRule="exact"/>
        <w:ind w:firstLine="460" w:firstLineChars="192"/>
        <w:contextualSpacing/>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6）对明显有违背事实的、经相关专家或评委认定无依据的、经其他响应人举证无依据的质疑，作违约处理，采购</w:t>
      </w:r>
      <w:r>
        <w:rPr>
          <w:rFonts w:hint="eastAsia" w:ascii="宋体" w:hAnsi="宋体" w:eastAsia="宋体" w:cs="宋体"/>
          <w:color w:val="auto"/>
          <w:sz w:val="24"/>
          <w:szCs w:val="24"/>
          <w:highlight w:val="none"/>
        </w:rPr>
        <w:t>人有权取消其会员资格，收取其保证金的100%作为违约金，</w:t>
      </w:r>
      <w:r>
        <w:rPr>
          <w:rFonts w:hint="eastAsia" w:ascii="宋体" w:hAnsi="宋体" w:eastAsia="宋体" w:cs="宋体"/>
          <w:color w:val="auto"/>
          <w:kern w:val="0"/>
          <w:sz w:val="24"/>
          <w:szCs w:val="24"/>
          <w:highlight w:val="none"/>
          <w:lang w:val="zh-CN"/>
        </w:rPr>
        <w:t>列入不良供应商名单；</w:t>
      </w:r>
      <w:r>
        <w:rPr>
          <w:rFonts w:hint="eastAsia" w:ascii="宋体" w:hAnsi="宋体" w:eastAsia="宋体" w:cs="宋体"/>
          <w:color w:val="auto"/>
          <w:sz w:val="24"/>
          <w:szCs w:val="24"/>
          <w:highlight w:val="none"/>
        </w:rPr>
        <w:t>同时，</w:t>
      </w:r>
      <w:r>
        <w:rPr>
          <w:rFonts w:hint="eastAsia" w:ascii="宋体" w:hAnsi="宋体" w:eastAsia="宋体" w:cs="宋体"/>
          <w:color w:val="auto"/>
          <w:kern w:val="0"/>
          <w:sz w:val="24"/>
          <w:szCs w:val="24"/>
          <w:highlight w:val="none"/>
          <w:lang w:val="zh-CN"/>
        </w:rPr>
        <w:t>对其中每一项不成立的质疑给予质疑人1年内禁入由采购人组织的采购活动的违约处理，依次类推；视情在南通相关媒体予以披露。</w:t>
      </w:r>
    </w:p>
    <w:p>
      <w:pPr>
        <w:snapToGrid w:val="0"/>
        <w:spacing w:line="520" w:lineRule="exact"/>
        <w:ind w:firstLine="460" w:firstLineChars="192"/>
        <w:contextualSpacing/>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7）</w:t>
      </w:r>
      <w:r>
        <w:rPr>
          <w:rFonts w:hint="eastAsia" w:ascii="宋体" w:hAnsi="宋体" w:eastAsia="宋体" w:cs="宋体"/>
          <w:color w:val="auto"/>
          <w:sz w:val="24"/>
          <w:szCs w:val="24"/>
          <w:highlight w:val="none"/>
        </w:rPr>
        <w:t>质疑人</w:t>
      </w:r>
      <w:r>
        <w:rPr>
          <w:rFonts w:hint="eastAsia" w:ascii="宋体" w:hAnsi="宋体" w:eastAsia="宋体" w:cs="宋体"/>
          <w:color w:val="auto"/>
          <w:kern w:val="0"/>
          <w:sz w:val="24"/>
          <w:szCs w:val="24"/>
          <w:highlight w:val="none"/>
          <w:lang w:val="zh-CN"/>
        </w:rPr>
        <w:t>承担使用虚假材料或恶意方式质疑的法律责任。</w:t>
      </w:r>
    </w:p>
    <w:p>
      <w:pPr>
        <w:autoSpaceDE w:val="0"/>
        <w:autoSpaceDN w:val="0"/>
        <w:adjustRightInd w:val="0"/>
        <w:snapToGrid w:val="0"/>
        <w:spacing w:line="520" w:lineRule="exact"/>
        <w:contextualSpacing/>
        <w:rPr>
          <w:rFonts w:hint="eastAsia" w:ascii="宋体" w:hAnsi="宋体" w:eastAsia="宋体" w:cs="宋体"/>
          <w:b/>
          <w:color w:val="auto"/>
          <w:kern w:val="0"/>
          <w:sz w:val="24"/>
          <w:szCs w:val="24"/>
          <w:highlight w:val="none"/>
          <w:lang w:val="zh-CN"/>
        </w:rPr>
      </w:pPr>
      <w:r>
        <w:rPr>
          <w:rFonts w:hint="eastAsia" w:ascii="宋体" w:hAnsi="宋体" w:eastAsia="宋体" w:cs="宋体"/>
          <w:color w:val="auto"/>
          <w:kern w:val="0"/>
          <w:sz w:val="24"/>
          <w:szCs w:val="24"/>
          <w:highlight w:val="none"/>
          <w:lang w:val="zh-CN"/>
        </w:rPr>
        <w:t xml:space="preserve">    </w:t>
      </w:r>
      <w:r>
        <w:rPr>
          <w:rFonts w:hint="eastAsia" w:ascii="宋体" w:hAnsi="宋体" w:eastAsia="宋体" w:cs="宋体"/>
          <w:b/>
          <w:color w:val="auto"/>
          <w:kern w:val="0"/>
          <w:sz w:val="24"/>
          <w:szCs w:val="24"/>
          <w:highlight w:val="none"/>
          <w:lang w:val="zh-CN"/>
        </w:rPr>
        <w:t>四、无佐证材料的举报作违约处理。</w:t>
      </w:r>
      <w:r>
        <w:rPr>
          <w:rFonts w:hint="eastAsia" w:ascii="宋体" w:hAnsi="宋体" w:eastAsia="宋体" w:cs="宋体"/>
          <w:color w:val="auto"/>
          <w:kern w:val="0"/>
          <w:sz w:val="24"/>
          <w:szCs w:val="24"/>
          <w:highlight w:val="none"/>
          <w:lang w:val="zh-CN"/>
        </w:rPr>
        <w:t>供应商不得进行不提供相关佐证材料（含无法查实的</w:t>
      </w:r>
      <w:r>
        <w:rPr>
          <w:rFonts w:hint="eastAsia" w:ascii="宋体" w:hAnsi="宋体" w:eastAsia="宋体" w:cs="宋体"/>
          <w:color w:val="auto"/>
          <w:sz w:val="24"/>
          <w:szCs w:val="24"/>
          <w:highlight w:val="none"/>
        </w:rPr>
        <w:t>如宣传册、媒体报道、猜测、推理等）</w:t>
      </w:r>
      <w:r>
        <w:rPr>
          <w:rFonts w:hint="eastAsia" w:ascii="宋体" w:hAnsi="宋体" w:eastAsia="宋体" w:cs="宋体"/>
          <w:color w:val="auto"/>
          <w:kern w:val="0"/>
          <w:sz w:val="24"/>
          <w:szCs w:val="24"/>
          <w:highlight w:val="none"/>
          <w:lang w:val="zh-CN"/>
        </w:rPr>
        <w:t>向有关部门的举报，否则作违约处理。采购人有权取消其相应的供应商资格，同时对其在1至3年内禁入由采购人组织的采购活动的违约处理。</w:t>
      </w:r>
    </w:p>
    <w:p>
      <w:pPr>
        <w:snapToGrid w:val="0"/>
        <w:spacing w:line="520" w:lineRule="exact"/>
        <w:ind w:firstLine="482" w:firstLineChars="200"/>
        <w:contextualSpacing/>
        <w:rPr>
          <w:rFonts w:hint="eastAsia" w:ascii="宋体" w:hAnsi="宋体" w:eastAsia="宋体" w:cs="宋体"/>
          <w:color w:val="auto"/>
          <w:kern w:val="0"/>
          <w:sz w:val="24"/>
          <w:szCs w:val="24"/>
          <w:highlight w:val="none"/>
          <w:lang w:val="zh-CN"/>
        </w:rPr>
      </w:pPr>
      <w:r>
        <w:rPr>
          <w:rFonts w:hint="eastAsia" w:ascii="宋体" w:hAnsi="宋体" w:eastAsia="宋体" w:cs="宋体"/>
          <w:b/>
          <w:color w:val="auto"/>
          <w:sz w:val="24"/>
          <w:szCs w:val="24"/>
          <w:highlight w:val="none"/>
        </w:rPr>
        <w:t>五、投诉不成立的作违约处理。</w:t>
      </w:r>
      <w:r>
        <w:rPr>
          <w:rFonts w:hint="eastAsia" w:ascii="宋体" w:hAnsi="宋体" w:eastAsia="宋体" w:cs="宋体"/>
          <w:color w:val="auto"/>
          <w:sz w:val="24"/>
          <w:szCs w:val="24"/>
          <w:highlight w:val="none"/>
        </w:rPr>
        <w:t>供应商进行质疑后，采购人及采购单位回复质疑不成立，供应商仍进行投诉的，并最终投诉不成立的，作违约处理。采购</w:t>
      </w:r>
      <w:r>
        <w:rPr>
          <w:rFonts w:hint="eastAsia" w:ascii="宋体" w:hAnsi="宋体" w:eastAsia="宋体" w:cs="宋体"/>
          <w:color w:val="auto"/>
          <w:kern w:val="0"/>
          <w:sz w:val="24"/>
          <w:szCs w:val="24"/>
          <w:highlight w:val="none"/>
          <w:lang w:val="zh-CN"/>
        </w:rPr>
        <w:t>人及采购单位有权取消其相应的供应商资格，同时对其在1至3年内禁入由采购人组织的采购活动的违约处理。</w:t>
      </w:r>
    </w:p>
    <w:p>
      <w:pPr>
        <w:snapToGrid w:val="0"/>
        <w:spacing w:line="520" w:lineRule="exact"/>
        <w:ind w:firstLine="570"/>
        <w:contextualSpacing/>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六、《质疑函》、《质疑回复函》，质疑、举报、投诉不成立的</w:t>
      </w:r>
      <w:r>
        <w:rPr>
          <w:rFonts w:hint="eastAsia" w:ascii="宋体" w:hAnsi="宋体" w:eastAsia="宋体" w:cs="宋体"/>
          <w:color w:val="auto"/>
          <w:sz w:val="24"/>
          <w:szCs w:val="24"/>
          <w:highlight w:val="none"/>
        </w:rPr>
        <w:t>等相关情况，视情在南通相关媒体予以披露。并建议相关政府采购机构对该供应商同步实施1至3年内禁入。</w:t>
      </w:r>
    </w:p>
    <w:p>
      <w:pPr>
        <w:pStyle w:val="5"/>
        <w:rPr>
          <w:rFonts w:hint="eastAsia" w:ascii="宋体" w:hAnsi="宋体" w:eastAsia="宋体" w:cs="宋体"/>
          <w:color w:val="auto"/>
          <w:sz w:val="24"/>
          <w:szCs w:val="24"/>
          <w:highlight w:val="none"/>
        </w:rPr>
      </w:pPr>
      <w:bookmarkStart w:id="8" w:name="_Toc25551"/>
    </w:p>
    <w:p>
      <w:pPr>
        <w:ind w:firstLine="1606" w:firstLineChars="500"/>
        <w:rPr>
          <w:rFonts w:hint="eastAsia" w:ascii="宋体" w:hAnsi="宋体" w:eastAsia="宋体" w:cs="宋体"/>
          <w:b/>
          <w:color w:val="auto"/>
          <w:sz w:val="32"/>
          <w:szCs w:val="32"/>
          <w:highlight w:val="none"/>
        </w:rPr>
      </w:pPr>
    </w:p>
    <w:p>
      <w:pPr>
        <w:ind w:firstLine="2570" w:firstLineChars="800"/>
        <w:rPr>
          <w:rFonts w:hint="eastAsia" w:ascii="宋体" w:hAnsi="宋体" w:eastAsia="宋体" w:cs="宋体"/>
          <w:b/>
          <w:color w:val="auto"/>
          <w:sz w:val="32"/>
          <w:szCs w:val="32"/>
          <w:highlight w:val="none"/>
        </w:rPr>
      </w:pPr>
    </w:p>
    <w:p>
      <w:pPr>
        <w:ind w:firstLine="2570" w:firstLineChars="800"/>
        <w:rPr>
          <w:rFonts w:hint="eastAsia" w:ascii="宋体" w:hAnsi="宋体" w:eastAsia="宋体" w:cs="宋体"/>
          <w:b/>
          <w:color w:val="auto"/>
          <w:sz w:val="32"/>
          <w:szCs w:val="32"/>
          <w:highlight w:val="none"/>
        </w:rPr>
      </w:pPr>
    </w:p>
    <w:p>
      <w:pPr>
        <w:ind w:firstLine="2570" w:firstLineChars="800"/>
        <w:rPr>
          <w:rFonts w:hint="eastAsia" w:ascii="宋体" w:hAnsi="宋体" w:eastAsia="宋体" w:cs="宋体"/>
          <w:b/>
          <w:color w:val="auto"/>
          <w:sz w:val="32"/>
          <w:szCs w:val="32"/>
          <w:highlight w:val="none"/>
        </w:rPr>
      </w:pPr>
    </w:p>
    <w:p>
      <w:pPr>
        <w:ind w:firstLine="2570" w:firstLineChars="800"/>
        <w:rPr>
          <w:rFonts w:hint="eastAsia" w:ascii="宋体" w:hAnsi="宋体" w:eastAsia="宋体" w:cs="宋体"/>
          <w:b/>
          <w:color w:val="auto"/>
          <w:sz w:val="32"/>
          <w:szCs w:val="32"/>
          <w:highlight w:val="none"/>
        </w:rPr>
      </w:pPr>
    </w:p>
    <w:p>
      <w:pPr>
        <w:ind w:firstLine="2570" w:firstLineChars="800"/>
        <w:rPr>
          <w:rFonts w:hint="eastAsia" w:ascii="宋体" w:hAnsi="宋体" w:eastAsia="宋体" w:cs="宋体"/>
          <w:b/>
          <w:color w:val="auto"/>
          <w:sz w:val="32"/>
          <w:szCs w:val="32"/>
          <w:highlight w:val="none"/>
        </w:rPr>
      </w:pPr>
    </w:p>
    <w:p>
      <w:pPr>
        <w:ind w:firstLine="2570" w:firstLineChars="800"/>
        <w:rPr>
          <w:rFonts w:hint="eastAsia" w:ascii="宋体" w:hAnsi="宋体" w:eastAsia="宋体" w:cs="宋体"/>
          <w:b/>
          <w:color w:val="auto"/>
          <w:sz w:val="32"/>
          <w:szCs w:val="32"/>
          <w:highlight w:val="none"/>
        </w:rPr>
      </w:pPr>
    </w:p>
    <w:p>
      <w:pPr>
        <w:ind w:firstLine="2570" w:firstLineChars="800"/>
        <w:rPr>
          <w:rFonts w:hint="eastAsia" w:ascii="宋体" w:hAnsi="宋体" w:eastAsia="宋体" w:cs="宋体"/>
          <w:b/>
          <w:color w:val="auto"/>
          <w:sz w:val="32"/>
          <w:szCs w:val="32"/>
          <w:highlight w:val="none"/>
        </w:rPr>
      </w:pPr>
    </w:p>
    <w:p>
      <w:pPr>
        <w:ind w:firstLine="2570" w:firstLineChars="800"/>
        <w:rPr>
          <w:rFonts w:hint="eastAsia" w:ascii="宋体" w:hAnsi="宋体" w:eastAsia="宋体" w:cs="宋体"/>
          <w:b/>
          <w:color w:val="auto"/>
          <w:sz w:val="32"/>
          <w:szCs w:val="32"/>
          <w:highlight w:val="none"/>
        </w:rPr>
      </w:pPr>
    </w:p>
    <w:p>
      <w:pPr>
        <w:ind w:firstLine="2570" w:firstLineChars="800"/>
        <w:rPr>
          <w:rFonts w:hint="eastAsia" w:ascii="宋体" w:hAnsi="宋体" w:eastAsia="宋体" w:cs="宋体"/>
          <w:b/>
          <w:color w:val="auto"/>
          <w:sz w:val="32"/>
          <w:szCs w:val="32"/>
          <w:highlight w:val="none"/>
        </w:rPr>
      </w:pPr>
    </w:p>
    <w:p>
      <w:pPr>
        <w:ind w:firstLine="2570" w:firstLineChars="800"/>
        <w:rPr>
          <w:rFonts w:hint="eastAsia" w:ascii="宋体" w:hAnsi="宋体" w:eastAsia="宋体" w:cs="宋体"/>
          <w:b/>
          <w:color w:val="auto"/>
          <w:sz w:val="32"/>
          <w:szCs w:val="32"/>
          <w:highlight w:val="none"/>
        </w:rPr>
      </w:pPr>
    </w:p>
    <w:p>
      <w:pPr>
        <w:ind w:firstLine="2570" w:firstLineChars="800"/>
        <w:rPr>
          <w:rFonts w:hint="eastAsia" w:ascii="宋体" w:hAnsi="宋体" w:eastAsia="宋体" w:cs="宋体"/>
          <w:b/>
          <w:color w:val="auto"/>
          <w:sz w:val="32"/>
          <w:szCs w:val="32"/>
          <w:highlight w:val="none"/>
        </w:rPr>
      </w:pPr>
    </w:p>
    <w:p>
      <w:pPr>
        <w:ind w:firstLine="2570" w:firstLineChars="800"/>
        <w:rPr>
          <w:rFonts w:hint="eastAsia" w:ascii="宋体" w:hAnsi="宋体" w:eastAsia="宋体" w:cs="宋体"/>
          <w:b/>
          <w:color w:val="auto"/>
          <w:sz w:val="32"/>
          <w:szCs w:val="32"/>
          <w:highlight w:val="none"/>
        </w:rPr>
      </w:pPr>
    </w:p>
    <w:p>
      <w:pPr>
        <w:ind w:firstLine="1606" w:firstLineChars="50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32"/>
          <w:szCs w:val="32"/>
          <w:highlight w:val="none"/>
        </w:rPr>
        <w:t>第七部分    响应文件组成及编制要求</w:t>
      </w:r>
      <w:bookmarkEnd w:id="8"/>
    </w:p>
    <w:p>
      <w:pPr>
        <w:pStyle w:val="40"/>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目      录</w:t>
      </w:r>
    </w:p>
    <w:p>
      <w:pPr>
        <w:pStyle w:val="40"/>
        <w:snapToGrid w:val="0"/>
        <w:spacing w:line="480" w:lineRule="auto"/>
        <w:ind w:firstLine="579"/>
        <w:contextualSpacing/>
        <w:jc w:val="left"/>
        <w:rPr>
          <w:rFonts w:hint="eastAsia" w:ascii="宋体" w:hAnsi="宋体" w:eastAsia="宋体" w:cs="宋体"/>
          <w:b/>
          <w:color w:val="auto"/>
          <w:sz w:val="24"/>
          <w:szCs w:val="24"/>
          <w:highlight w:val="none"/>
        </w:rPr>
      </w:pPr>
    </w:p>
    <w:p>
      <w:pPr>
        <w:pStyle w:val="40"/>
        <w:snapToGrid w:val="0"/>
        <w:spacing w:line="480" w:lineRule="auto"/>
        <w:ind w:firstLine="579"/>
        <w:contextualSpacing/>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请按照竞争性磋商采购公告及采购文件供应商资格要求提交响应供应商资格审查证明材料组成内容编制目录，单独密封包装。</w:t>
      </w:r>
    </w:p>
    <w:p>
      <w:pPr>
        <w:pStyle w:val="40"/>
        <w:snapToGrid w:val="0"/>
        <w:spacing w:line="480" w:lineRule="auto"/>
        <w:ind w:firstLine="579"/>
        <w:contextualSpacing/>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例如格式，仅供参考：</w:t>
      </w:r>
    </w:p>
    <w:p>
      <w:pPr>
        <w:snapToGrid w:val="0"/>
        <w:spacing w:line="48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1.关于资格的声明函；</w:t>
      </w:r>
    </w:p>
    <w:p>
      <w:pPr>
        <w:pStyle w:val="40"/>
        <w:snapToGrid w:val="0"/>
        <w:spacing w:line="48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2.法定代表人身份证明书（提供复印件并加盖公章）;</w:t>
      </w:r>
    </w:p>
    <w:p>
      <w:pPr>
        <w:tabs>
          <w:tab w:val="left" w:pos="3375"/>
        </w:tabs>
        <w:autoSpaceDE w:val="0"/>
        <w:autoSpaceDN w:val="0"/>
        <w:adjustRightInd w:val="0"/>
        <w:snapToGrid w:val="0"/>
        <w:spacing w:line="480" w:lineRule="auto"/>
        <w:ind w:left="1" w:firstLine="480" w:firstLineChars="200"/>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3.法定代表人授权委托书原件，投标代表本人身份证复印件（原件随身备查）；</w:t>
      </w:r>
    </w:p>
    <w:p>
      <w:pPr>
        <w:pStyle w:val="40"/>
        <w:snapToGrid w:val="0"/>
        <w:spacing w:line="480" w:lineRule="auto"/>
        <w:ind w:left="140" w:firstLine="360" w:firstLineChars="150"/>
        <w:contextualSpacing/>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4.法人或者其他组织的营业执照等相关证明、佐证材料或者情况说明</w:t>
      </w:r>
      <w:r>
        <w:rPr>
          <w:rFonts w:hint="eastAsia" w:ascii="宋体" w:hAnsi="宋体" w:eastAsia="宋体" w:cs="宋体"/>
          <w:color w:val="auto"/>
          <w:sz w:val="24"/>
          <w:szCs w:val="24"/>
          <w:highlight w:val="none"/>
          <w:lang w:eastAsia="zh-CN"/>
        </w:rPr>
        <w:t>；</w:t>
      </w:r>
    </w:p>
    <w:p>
      <w:pPr>
        <w:snapToGrid w:val="0"/>
        <w:spacing w:line="48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依法缴纳税收和社会保障资金的良好记录；</w:t>
      </w:r>
    </w:p>
    <w:p>
      <w:pPr>
        <w:pStyle w:val="40"/>
        <w:snapToGrid w:val="0"/>
        <w:spacing w:line="480" w:lineRule="auto"/>
        <w:ind w:left="140" w:firstLine="360" w:firstLineChars="150"/>
        <w:contextualSpacing/>
        <w:jc w:val="left"/>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lang w:eastAsia="zh-CN"/>
        </w:rPr>
        <w:t>6.</w:t>
      </w:r>
      <w:r>
        <w:rPr>
          <w:rFonts w:hint="eastAsia" w:ascii="宋体" w:hAnsi="宋体" w:eastAsia="宋体" w:cs="宋体"/>
          <w:color w:val="auto"/>
          <w:sz w:val="24"/>
          <w:szCs w:val="24"/>
          <w:highlight w:val="none"/>
        </w:rPr>
        <w:t>具备在有效期内的国家部委或江苏省网络信息安全等级保护评估中心颁发的《网络安全等级保护测评机构推荐证书》</w:t>
      </w:r>
    </w:p>
    <w:p>
      <w:pPr>
        <w:snapToGrid w:val="0"/>
        <w:spacing w:line="48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7.前三年来，在经营活动中没有重大违法记录、经营状况良好的声明。</w:t>
      </w:r>
    </w:p>
    <w:p>
      <w:pPr>
        <w:pStyle w:val="40"/>
        <w:snapToGrid w:val="0"/>
        <w:spacing w:line="480" w:lineRule="auto"/>
        <w:ind w:firstLine="0" w:firstLineChars="0"/>
        <w:contextualSpacing/>
        <w:jc w:val="left"/>
        <w:rPr>
          <w:rFonts w:hint="eastAsia" w:ascii="宋体" w:hAnsi="宋体" w:eastAsia="宋体" w:cs="宋体"/>
          <w:color w:val="auto"/>
          <w:sz w:val="24"/>
          <w:szCs w:val="24"/>
          <w:highlight w:val="none"/>
          <w:lang w:val="en-US"/>
        </w:rPr>
      </w:pP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p>
    <w:p>
      <w:pPr>
        <w:widowControl/>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附件1</w:t>
      </w:r>
    </w:p>
    <w:p>
      <w:pPr>
        <w:pStyle w:val="40"/>
        <w:snapToGrid w:val="0"/>
        <w:spacing w:line="300" w:lineRule="auto"/>
        <w:ind w:firstLine="0" w:firstLineChars="0"/>
        <w:contextualSpacing/>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关于资格的声明函</w:t>
      </w:r>
    </w:p>
    <w:p>
      <w:pPr>
        <w:snapToGrid w:val="0"/>
        <w:spacing w:line="300" w:lineRule="auto"/>
        <w:contextualSpacing/>
        <w:rPr>
          <w:rFonts w:hint="eastAsia" w:ascii="宋体" w:hAnsi="宋体" w:eastAsia="宋体" w:cs="宋体"/>
          <w:b/>
          <w:color w:val="auto"/>
          <w:sz w:val="24"/>
          <w:szCs w:val="24"/>
          <w:highlight w:val="none"/>
        </w:rPr>
      </w:pPr>
    </w:p>
    <w:p>
      <w:pPr>
        <w:snapToGrid w:val="0"/>
        <w:spacing w:line="300" w:lineRule="auto"/>
        <w:contextualSpacing/>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南通日报社（南通报业传媒集团）：</w:t>
      </w:r>
    </w:p>
    <w:p>
      <w:pPr>
        <w:snapToGrid w:val="0"/>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我公司认真对照竞争性磋商采购公告及文件，符合贵方提出的资格要求，自愿报名参加响应，并保证提供的资料文件是准确的和真实的。提供虚假材料的愿意承担相应的法律责任。</w:t>
      </w:r>
    </w:p>
    <w:p>
      <w:pPr>
        <w:snapToGrid w:val="0"/>
        <w:spacing w:line="44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附：公司响应之前3年内有无受各级管理部门的处分或处罚（含其授权服务的子公司、分公司等），和企业被列入“不良信誉黑名单”。</w:t>
      </w:r>
    </w:p>
    <w:p>
      <w:pPr>
        <w:pStyle w:val="9"/>
        <w:snapToGrid w:val="0"/>
        <w:spacing w:line="500" w:lineRule="exact"/>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如果不主动填报而被事后发现的，将取消其响应资格，并按有关规定从重处理；没有受处罚的响应人，要填写“没有受到任何处罚”，此表不能空白。</w:t>
      </w:r>
    </w:p>
    <w:p>
      <w:pPr>
        <w:pStyle w:val="9"/>
        <w:snapToGrid w:val="0"/>
        <w:spacing w:line="300" w:lineRule="auto"/>
        <w:ind w:firstLine="240" w:firstLineChars="100"/>
        <w:contextualSpacing/>
        <w:jc w:val="left"/>
        <w:rPr>
          <w:rFonts w:hint="eastAsia" w:ascii="宋体" w:hAnsi="宋体" w:eastAsia="宋体" w:cs="宋体"/>
          <w:color w:val="auto"/>
          <w:sz w:val="24"/>
          <w:szCs w:val="24"/>
          <w:highlight w:val="none"/>
        </w:rPr>
      </w:pP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3"/>
        <w:gridCol w:w="3363"/>
        <w:gridCol w:w="3363"/>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733" w:type="pct"/>
            <w:noWrap w:val="0"/>
            <w:vAlign w:val="center"/>
          </w:tcPr>
          <w:p>
            <w:pPr>
              <w:pStyle w:val="6"/>
              <w:snapToGrid w:val="0"/>
              <w:spacing w:line="300" w:lineRule="auto"/>
              <w:ind w:firstLine="0"/>
              <w:contextualSpacing/>
              <w:jc w:val="cente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时 间</w:t>
            </w:r>
          </w:p>
        </w:tc>
        <w:tc>
          <w:tcPr>
            <w:tcW w:w="1757" w:type="pct"/>
            <w:noWrap w:val="0"/>
            <w:vAlign w:val="center"/>
          </w:tcPr>
          <w:p>
            <w:pPr>
              <w:pStyle w:val="6"/>
              <w:snapToGrid w:val="0"/>
              <w:spacing w:line="300" w:lineRule="auto"/>
              <w:ind w:firstLine="0"/>
              <w:contextualSpacing/>
              <w:jc w:val="cente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受处理的原因</w:t>
            </w:r>
          </w:p>
          <w:p>
            <w:pPr>
              <w:pStyle w:val="6"/>
              <w:snapToGrid w:val="0"/>
              <w:spacing w:line="300" w:lineRule="auto"/>
              <w:ind w:firstLine="0"/>
              <w:contextualSpacing/>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（参加政府采购活动前3年内在经营活动中有重大违法记录和企业被列入“不良信誉黑名单”受处理的，注明采购项目</w:t>
            </w:r>
          </w:p>
          <w:p>
            <w:pPr>
              <w:pStyle w:val="6"/>
              <w:snapToGrid w:val="0"/>
              <w:spacing w:line="300" w:lineRule="auto"/>
              <w:ind w:firstLine="0"/>
              <w:contextualSpacing/>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名称及处理原因）</w:t>
            </w:r>
          </w:p>
        </w:tc>
        <w:tc>
          <w:tcPr>
            <w:tcW w:w="1757" w:type="pct"/>
            <w:noWrap w:val="0"/>
            <w:vAlign w:val="center"/>
          </w:tcPr>
          <w:p>
            <w:pPr>
              <w:pStyle w:val="6"/>
              <w:snapToGrid w:val="0"/>
              <w:spacing w:line="300" w:lineRule="auto"/>
              <w:ind w:firstLine="0"/>
              <w:contextualSpacing/>
              <w:jc w:val="cente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处理的内容</w:t>
            </w:r>
          </w:p>
          <w:p>
            <w:pPr>
              <w:pStyle w:val="6"/>
              <w:snapToGrid w:val="0"/>
              <w:spacing w:line="300" w:lineRule="auto"/>
              <w:ind w:firstLine="0"/>
              <w:contextualSpacing/>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（如受到禁止一段时期参加某种项目的政府采购活动的，要说明解禁时</w:t>
            </w:r>
          </w:p>
          <w:p>
            <w:pPr>
              <w:pStyle w:val="6"/>
              <w:snapToGrid w:val="0"/>
              <w:spacing w:line="300" w:lineRule="auto"/>
              <w:ind w:firstLine="0"/>
              <w:contextualSpacing/>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间）</w:t>
            </w:r>
          </w:p>
        </w:tc>
        <w:tc>
          <w:tcPr>
            <w:tcW w:w="753" w:type="pct"/>
            <w:noWrap w:val="0"/>
            <w:vAlign w:val="center"/>
          </w:tcPr>
          <w:p>
            <w:pPr>
              <w:pStyle w:val="6"/>
              <w:snapToGrid w:val="0"/>
              <w:spacing w:line="300" w:lineRule="auto"/>
              <w:ind w:firstLine="0"/>
              <w:contextualSpacing/>
              <w:jc w:val="cente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733" w:type="pct"/>
            <w:noWrap w:val="0"/>
            <w:vAlign w:val="top"/>
          </w:tcPr>
          <w:p>
            <w:pPr>
              <w:pStyle w:val="6"/>
              <w:snapToGrid w:val="0"/>
              <w:spacing w:line="300" w:lineRule="auto"/>
              <w:ind w:firstLine="0"/>
              <w:contextualSpacing/>
              <w:rPr>
                <w:rFonts w:hint="eastAsia" w:ascii="宋体" w:hAnsi="宋体" w:eastAsia="宋体" w:cs="宋体"/>
                <w:color w:val="auto"/>
                <w:sz w:val="24"/>
                <w:szCs w:val="24"/>
                <w:highlight w:val="none"/>
                <w:lang w:val="en-US" w:eastAsia="zh-CN"/>
              </w:rPr>
            </w:pPr>
          </w:p>
        </w:tc>
        <w:tc>
          <w:tcPr>
            <w:tcW w:w="1757" w:type="pct"/>
            <w:noWrap w:val="0"/>
            <w:vAlign w:val="top"/>
          </w:tcPr>
          <w:p>
            <w:pPr>
              <w:pStyle w:val="6"/>
              <w:snapToGrid w:val="0"/>
              <w:spacing w:line="300" w:lineRule="auto"/>
              <w:ind w:firstLine="0"/>
              <w:contextualSpacing/>
              <w:rPr>
                <w:rFonts w:hint="eastAsia" w:ascii="宋体" w:hAnsi="宋体" w:eastAsia="宋体" w:cs="宋体"/>
                <w:color w:val="auto"/>
                <w:sz w:val="24"/>
                <w:szCs w:val="24"/>
                <w:highlight w:val="none"/>
                <w:lang w:val="en-US" w:eastAsia="zh-CN"/>
              </w:rPr>
            </w:pPr>
          </w:p>
        </w:tc>
        <w:tc>
          <w:tcPr>
            <w:tcW w:w="1757" w:type="pct"/>
            <w:noWrap w:val="0"/>
            <w:vAlign w:val="top"/>
          </w:tcPr>
          <w:p>
            <w:pPr>
              <w:pStyle w:val="6"/>
              <w:snapToGrid w:val="0"/>
              <w:spacing w:line="300" w:lineRule="auto"/>
              <w:ind w:firstLine="0"/>
              <w:contextualSpacing/>
              <w:rPr>
                <w:rFonts w:hint="eastAsia" w:ascii="宋体" w:hAnsi="宋体" w:eastAsia="宋体" w:cs="宋体"/>
                <w:color w:val="auto"/>
                <w:sz w:val="24"/>
                <w:szCs w:val="24"/>
                <w:highlight w:val="none"/>
                <w:lang w:val="en-US" w:eastAsia="zh-CN"/>
              </w:rPr>
            </w:pPr>
          </w:p>
        </w:tc>
        <w:tc>
          <w:tcPr>
            <w:tcW w:w="753" w:type="pct"/>
            <w:noWrap w:val="0"/>
            <w:vAlign w:val="top"/>
          </w:tcPr>
          <w:p>
            <w:pPr>
              <w:pStyle w:val="6"/>
              <w:snapToGrid w:val="0"/>
              <w:spacing w:line="300" w:lineRule="auto"/>
              <w:ind w:firstLine="0"/>
              <w:contextualSpacing/>
              <w:rPr>
                <w:rFonts w:hint="eastAsia" w:ascii="宋体" w:hAnsi="宋体" w:eastAsia="宋体" w:cs="宋体"/>
                <w:color w:val="auto"/>
                <w:sz w:val="24"/>
                <w:szCs w:val="24"/>
                <w:highlight w:val="none"/>
                <w:lang w:val="en-US" w:eastAsia="zh-CN"/>
              </w:rPr>
            </w:pPr>
          </w:p>
        </w:tc>
      </w:tr>
    </w:tbl>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附件2</w:t>
      </w:r>
    </w:p>
    <w:p>
      <w:pPr>
        <w:pStyle w:val="40"/>
        <w:snapToGrid w:val="0"/>
        <w:spacing w:line="300" w:lineRule="auto"/>
        <w:ind w:firstLine="0" w:firstLineChars="0"/>
        <w:contextualSpacing/>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法定代表人身份证明书</w:t>
      </w:r>
    </w:p>
    <w:p>
      <w:pPr>
        <w:snapToGrid w:val="0"/>
        <w:spacing w:line="300" w:lineRule="auto"/>
        <w:ind w:firstLine="480" w:firstLineChars="200"/>
        <w:contextualSpacing/>
        <w:rPr>
          <w:rFonts w:hint="eastAsia" w:ascii="宋体" w:hAnsi="宋体" w:eastAsia="宋体" w:cs="宋体"/>
          <w:color w:val="auto"/>
          <w:sz w:val="24"/>
          <w:szCs w:val="24"/>
          <w:highlight w:val="none"/>
        </w:rPr>
      </w:pPr>
    </w:p>
    <w:p>
      <w:pPr>
        <w:snapToGrid w:val="0"/>
        <w:spacing w:line="300" w:lineRule="auto"/>
        <w:ind w:firstLine="480" w:firstLineChars="200"/>
        <w:contextualSpacing/>
        <w:rPr>
          <w:rFonts w:hint="eastAsia" w:ascii="宋体" w:hAnsi="宋体" w:eastAsia="宋体" w:cs="宋体"/>
          <w:color w:val="auto"/>
          <w:sz w:val="24"/>
          <w:szCs w:val="24"/>
          <w:highlight w:val="none"/>
        </w:rPr>
      </w:pPr>
    </w:p>
    <w:p>
      <w:pPr>
        <w:snapToGrid w:val="0"/>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先生／女士：现任我单位</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职务，为法定代表人，特此证明。</w:t>
      </w:r>
    </w:p>
    <w:p>
      <w:pPr>
        <w:snapToGrid w:val="0"/>
        <w:spacing w:line="500" w:lineRule="exact"/>
        <w:ind w:firstLine="480" w:firstLineChars="200"/>
        <w:contextualSpacing/>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身份证号码：</w:t>
      </w:r>
      <w:r>
        <w:rPr>
          <w:rFonts w:hint="eastAsia" w:ascii="宋体" w:hAnsi="宋体" w:eastAsia="宋体" w:cs="宋体"/>
          <w:color w:val="auto"/>
          <w:sz w:val="24"/>
          <w:szCs w:val="24"/>
          <w:highlight w:val="none"/>
          <w:u w:val="single"/>
        </w:rPr>
        <w:t xml:space="preserve">                                               </w:t>
      </w:r>
    </w:p>
    <w:p>
      <w:pPr>
        <w:snapToGrid w:val="0"/>
        <w:spacing w:line="500" w:lineRule="exact"/>
        <w:contextualSpacing/>
        <w:rPr>
          <w:rFonts w:hint="eastAsia" w:ascii="宋体" w:hAnsi="宋体" w:eastAsia="宋体" w:cs="宋体"/>
          <w:b/>
          <w:color w:val="auto"/>
          <w:sz w:val="24"/>
          <w:szCs w:val="24"/>
          <w:highlight w:val="none"/>
        </w:rPr>
      </w:pPr>
    </w:p>
    <w:p>
      <w:pPr>
        <w:snapToGrid w:val="0"/>
        <w:spacing w:line="500" w:lineRule="exact"/>
        <w:contextualSpacing/>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注：提供法定代表人的身份证复印件盖公章</w:t>
      </w:r>
    </w:p>
    <w:p>
      <w:pPr>
        <w:snapToGrid w:val="0"/>
        <w:spacing w:line="500" w:lineRule="exact"/>
        <w:ind w:firstLine="590" w:firstLineChars="245"/>
        <w:contextualSpacing/>
        <w:jc w:val="center"/>
        <w:rPr>
          <w:rFonts w:hint="eastAsia" w:ascii="宋体" w:hAnsi="宋体" w:eastAsia="宋体" w:cs="宋体"/>
          <w:b/>
          <w:bCs/>
          <w:color w:val="auto"/>
          <w:sz w:val="24"/>
          <w:szCs w:val="24"/>
          <w:highlight w:val="none"/>
        </w:rPr>
      </w:pP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附件3</w:t>
      </w:r>
    </w:p>
    <w:p>
      <w:pPr>
        <w:pStyle w:val="40"/>
        <w:snapToGrid w:val="0"/>
        <w:spacing w:line="300" w:lineRule="auto"/>
        <w:ind w:firstLine="0" w:firstLineChars="0"/>
        <w:contextualSpacing/>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法定代表人授权委托书</w:t>
      </w:r>
    </w:p>
    <w:p>
      <w:pPr>
        <w:snapToGrid w:val="0"/>
        <w:spacing w:line="300" w:lineRule="auto"/>
        <w:ind w:firstLine="590" w:firstLineChars="245"/>
        <w:contextualSpacing/>
        <w:jc w:val="center"/>
        <w:rPr>
          <w:rFonts w:hint="eastAsia" w:ascii="宋体" w:hAnsi="宋体" w:eastAsia="宋体" w:cs="宋体"/>
          <w:b/>
          <w:bCs/>
          <w:color w:val="auto"/>
          <w:sz w:val="24"/>
          <w:szCs w:val="24"/>
          <w:highlight w:val="none"/>
        </w:rPr>
      </w:pPr>
    </w:p>
    <w:p>
      <w:pPr>
        <w:snapToGrid w:val="0"/>
        <w:spacing w:line="500" w:lineRule="exact"/>
        <w:contextualSpacing/>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南通日报社（南通报业传媒集团）：</w:t>
      </w:r>
    </w:p>
    <w:p>
      <w:pPr>
        <w:pStyle w:val="9"/>
        <w:snapToGrid w:val="0"/>
        <w:spacing w:line="500" w:lineRule="exact"/>
        <w:ind w:firstLine="42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480" w:lineRule="exact"/>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本授权委托书声明：我</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（姓名）系</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（响应人名称）的法定代表人，现授权委托</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姓名）为我公司代理人，以本公司的名义参加</w:t>
      </w:r>
      <w:r>
        <w:rPr>
          <w:rFonts w:hint="eastAsia" w:ascii="宋体" w:hAnsi="宋体" w:eastAsia="宋体" w:cs="宋体"/>
          <w:color w:val="auto"/>
          <w:sz w:val="24"/>
          <w:szCs w:val="24"/>
          <w:highlight w:val="none"/>
          <w:u w:val="single"/>
        </w:rPr>
        <w:t xml:space="preserve">南通日报社（南通报业传媒集团）               </w:t>
      </w:r>
      <w:r>
        <w:rPr>
          <w:rFonts w:hint="eastAsia" w:ascii="宋体" w:hAnsi="宋体" w:eastAsia="宋体" w:cs="宋体"/>
          <w:color w:val="auto"/>
          <w:sz w:val="24"/>
          <w:szCs w:val="24"/>
          <w:highlight w:val="none"/>
        </w:rPr>
        <w:t>的响应活动。代理人在响应、开标、评审、磋商谈判过程中所签署的一切文件和处理与之有关的一切事务，我均予以承认。</w:t>
      </w:r>
    </w:p>
    <w:p>
      <w:pPr>
        <w:pStyle w:val="9"/>
        <w:snapToGrid w:val="0"/>
        <w:spacing w:line="500" w:lineRule="exact"/>
        <w:ind w:firstLine="42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被委托授权人无转委权。特此委托。</w:t>
      </w:r>
    </w:p>
    <w:p>
      <w:pPr>
        <w:pStyle w:val="9"/>
        <w:snapToGrid w:val="0"/>
        <w:spacing w:line="500" w:lineRule="exact"/>
        <w:ind w:firstLine="420"/>
        <w:contextualSpacing/>
        <w:rPr>
          <w:rFonts w:hint="eastAsia" w:ascii="宋体" w:hAnsi="宋体" w:eastAsia="宋体" w:cs="宋体"/>
          <w:color w:val="auto"/>
          <w:sz w:val="24"/>
          <w:szCs w:val="24"/>
          <w:highlight w:val="none"/>
        </w:rPr>
      </w:pPr>
    </w:p>
    <w:p>
      <w:pPr>
        <w:pStyle w:val="9"/>
        <w:snapToGrid w:val="0"/>
        <w:spacing w:line="500" w:lineRule="exact"/>
        <w:ind w:firstLine="42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被委托授权人身份证号：</w:t>
      </w:r>
    </w:p>
    <w:p>
      <w:pPr>
        <w:snapToGrid w:val="0"/>
        <w:spacing w:line="500" w:lineRule="exact"/>
        <w:ind w:firstLine="360" w:firstLineChars="150"/>
        <w:contextualSpacing/>
        <w:rPr>
          <w:rFonts w:hint="eastAsia" w:ascii="宋体" w:hAnsi="宋体" w:eastAsia="宋体" w:cs="宋体"/>
          <w:color w:val="auto"/>
          <w:sz w:val="24"/>
          <w:szCs w:val="24"/>
          <w:highlight w:val="none"/>
        </w:rPr>
      </w:pPr>
    </w:p>
    <w:p>
      <w:pPr>
        <w:snapToGrid w:val="0"/>
        <w:spacing w:line="500" w:lineRule="exact"/>
        <w:ind w:firstLine="360" w:firstLineChars="15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w:t>
      </w:r>
    </w:p>
    <w:p>
      <w:pPr>
        <w:snapToGrid w:val="0"/>
        <w:spacing w:line="500" w:lineRule="exact"/>
        <w:ind w:firstLine="360" w:firstLineChars="150"/>
        <w:contextualSpacing/>
        <w:rPr>
          <w:rFonts w:hint="eastAsia" w:ascii="宋体" w:hAnsi="宋体" w:eastAsia="宋体" w:cs="宋体"/>
          <w:color w:val="auto"/>
          <w:sz w:val="24"/>
          <w:szCs w:val="24"/>
          <w:highlight w:val="none"/>
        </w:rPr>
      </w:pPr>
    </w:p>
    <w:p>
      <w:pPr>
        <w:snapToGrid w:val="0"/>
        <w:spacing w:line="500" w:lineRule="exact"/>
        <w:ind w:firstLine="360" w:firstLineChars="15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被委托授权人签字：</w:t>
      </w:r>
    </w:p>
    <w:p>
      <w:pPr>
        <w:snapToGrid w:val="0"/>
        <w:spacing w:line="500" w:lineRule="exact"/>
        <w:ind w:firstLine="4440" w:firstLineChars="1850"/>
        <w:contextualSpacing/>
        <w:rPr>
          <w:rFonts w:hint="eastAsia" w:ascii="宋体" w:hAnsi="宋体" w:eastAsia="宋体" w:cs="宋体"/>
          <w:color w:val="auto"/>
          <w:sz w:val="24"/>
          <w:szCs w:val="24"/>
          <w:highlight w:val="none"/>
        </w:rPr>
      </w:pPr>
    </w:p>
    <w:p>
      <w:pPr>
        <w:snapToGrid w:val="0"/>
        <w:spacing w:line="500" w:lineRule="exact"/>
        <w:ind w:firstLine="4440" w:firstLineChars="185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响应人（盖章）</w:t>
      </w:r>
    </w:p>
    <w:p>
      <w:pPr>
        <w:snapToGrid w:val="0"/>
        <w:spacing w:line="500" w:lineRule="exact"/>
        <w:contextualSpacing/>
        <w:rPr>
          <w:rFonts w:hint="eastAsia" w:ascii="宋体" w:hAnsi="宋体" w:eastAsia="宋体" w:cs="宋体"/>
          <w:color w:val="auto"/>
          <w:sz w:val="24"/>
          <w:szCs w:val="24"/>
          <w:highlight w:val="none"/>
        </w:rPr>
      </w:pPr>
    </w:p>
    <w:p>
      <w:pPr>
        <w:pStyle w:val="10"/>
        <w:snapToGrid w:val="0"/>
        <w:spacing w:line="500" w:lineRule="exact"/>
        <w:ind w:firstLine="4440" w:firstLineChars="1850"/>
        <w:contextualSpacing/>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年    月    日</w:t>
      </w:r>
    </w:p>
    <w:p>
      <w:pPr>
        <w:pStyle w:val="9"/>
        <w:snapToGrid w:val="0"/>
        <w:spacing w:line="500" w:lineRule="exact"/>
        <w:ind w:firstLine="420"/>
        <w:contextualSpacing/>
        <w:rPr>
          <w:rFonts w:hint="eastAsia" w:ascii="宋体" w:hAnsi="宋体" w:eastAsia="宋体" w:cs="宋体"/>
          <w:b/>
          <w:color w:val="auto"/>
          <w:sz w:val="24"/>
          <w:szCs w:val="24"/>
          <w:highlight w:val="none"/>
        </w:rPr>
      </w:pPr>
    </w:p>
    <w:p>
      <w:pPr>
        <w:pStyle w:val="9"/>
        <w:snapToGrid w:val="0"/>
        <w:spacing w:line="500" w:lineRule="exact"/>
        <w:ind w:firstLine="420"/>
        <w:contextualSpacing/>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注：提供被委托授权人的身份证复印件盖公章</w:t>
      </w:r>
    </w:p>
    <w:p>
      <w:pPr>
        <w:pStyle w:val="9"/>
        <w:snapToGrid w:val="0"/>
        <w:spacing w:line="300" w:lineRule="auto"/>
        <w:ind w:firstLine="420"/>
        <w:contextualSpacing/>
        <w:rPr>
          <w:rFonts w:hint="eastAsia" w:ascii="宋体" w:hAnsi="宋体" w:eastAsia="宋体" w:cs="宋体"/>
          <w:b/>
          <w:color w:val="auto"/>
          <w:sz w:val="24"/>
          <w:szCs w:val="24"/>
          <w:highlight w:val="none"/>
        </w:rPr>
      </w:pPr>
    </w:p>
    <w:p>
      <w:pPr>
        <w:spacing w:after="60" w:line="360" w:lineRule="auto"/>
        <w:jc w:val="center"/>
        <w:rPr>
          <w:rFonts w:hint="eastAsia" w:ascii="宋体" w:hAnsi="宋体" w:eastAsia="宋体" w:cs="宋体"/>
          <w:b/>
          <w:bCs/>
          <w:color w:val="auto"/>
          <w:sz w:val="24"/>
          <w:szCs w:val="24"/>
          <w:highlight w:val="none"/>
        </w:rPr>
      </w:pPr>
    </w:p>
    <w:p>
      <w:pPr>
        <w:spacing w:after="60" w:line="360" w:lineRule="auto"/>
        <w:jc w:val="center"/>
        <w:rPr>
          <w:rFonts w:hint="eastAsia" w:ascii="宋体" w:hAnsi="宋体" w:eastAsia="宋体" w:cs="宋体"/>
          <w:b/>
          <w:bCs/>
          <w:color w:val="auto"/>
          <w:sz w:val="24"/>
          <w:szCs w:val="24"/>
          <w:highlight w:val="none"/>
        </w:rPr>
      </w:pPr>
    </w:p>
    <w:p>
      <w:pPr>
        <w:spacing w:after="60" w:line="360" w:lineRule="auto"/>
        <w:jc w:val="center"/>
        <w:rPr>
          <w:rFonts w:hint="eastAsia" w:ascii="宋体" w:hAnsi="宋体" w:eastAsia="宋体" w:cs="宋体"/>
          <w:b/>
          <w:bCs/>
          <w:color w:val="auto"/>
          <w:sz w:val="24"/>
          <w:szCs w:val="24"/>
          <w:highlight w:val="none"/>
        </w:rPr>
      </w:pPr>
    </w:p>
    <w:p>
      <w:pPr>
        <w:spacing w:after="60" w:line="360" w:lineRule="auto"/>
        <w:ind w:firstLine="2879" w:firstLineChars="1195"/>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响应文件</w:t>
      </w:r>
    </w:p>
    <w:p>
      <w:pPr>
        <w:spacing w:after="60" w:line="360" w:lineRule="auto"/>
        <w:ind w:firstLine="2036" w:firstLineChars="845"/>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（商务技术响应文件）</w:t>
      </w:r>
    </w:p>
    <w:p>
      <w:pPr>
        <w:spacing w:after="60" w:line="360" w:lineRule="auto"/>
        <w:ind w:firstLine="3597" w:firstLineChars="149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正本或副本</w:t>
      </w:r>
    </w:p>
    <w:p>
      <w:pPr>
        <w:spacing w:after="60"/>
        <w:jc w:val="center"/>
        <w:rPr>
          <w:rFonts w:hint="eastAsia" w:ascii="宋体" w:hAnsi="宋体" w:eastAsia="宋体" w:cs="宋体"/>
          <w:b/>
          <w:bCs/>
          <w:color w:val="auto"/>
          <w:sz w:val="24"/>
          <w:szCs w:val="24"/>
          <w:highlight w:val="none"/>
        </w:rPr>
      </w:pPr>
    </w:p>
    <w:p>
      <w:pPr>
        <w:spacing w:after="60"/>
        <w:jc w:val="center"/>
        <w:rPr>
          <w:rFonts w:hint="eastAsia" w:ascii="宋体" w:hAnsi="宋体" w:eastAsia="宋体" w:cs="宋体"/>
          <w:b/>
          <w:bCs/>
          <w:color w:val="auto"/>
          <w:sz w:val="24"/>
          <w:szCs w:val="24"/>
          <w:highlight w:val="none"/>
        </w:rPr>
      </w:pPr>
    </w:p>
    <w:p>
      <w:pPr>
        <w:spacing w:line="600" w:lineRule="auto"/>
        <w:rPr>
          <w:rFonts w:hint="eastAsia" w:ascii="宋体" w:hAnsi="宋体" w:eastAsia="宋体" w:cs="宋体"/>
          <w:b/>
          <w:color w:val="auto"/>
          <w:sz w:val="24"/>
          <w:szCs w:val="24"/>
          <w:highlight w:val="none"/>
          <w:u w:val="single"/>
        </w:rPr>
      </w:pPr>
      <w:r>
        <w:rPr>
          <w:rFonts w:hint="eastAsia" w:ascii="宋体" w:hAnsi="宋体" w:eastAsia="宋体" w:cs="宋体"/>
          <w:b/>
          <w:bCs/>
          <w:color w:val="auto"/>
          <w:spacing w:val="-6"/>
          <w:sz w:val="24"/>
          <w:szCs w:val="24"/>
          <w:highlight w:val="none"/>
        </w:rPr>
        <w:t>项目名称:</w:t>
      </w:r>
      <w:r>
        <w:rPr>
          <w:rFonts w:hint="eastAsia" w:ascii="宋体" w:hAnsi="宋体" w:eastAsia="宋体" w:cs="宋体"/>
          <w:b/>
          <w:color w:val="auto"/>
          <w:sz w:val="24"/>
          <w:szCs w:val="24"/>
          <w:highlight w:val="none"/>
        </w:rPr>
        <w:t xml:space="preserve"> </w:t>
      </w:r>
      <w:r>
        <w:rPr>
          <w:rFonts w:hint="eastAsia" w:ascii="宋体" w:hAnsi="宋体" w:eastAsia="宋体" w:cs="宋体"/>
          <w:b/>
          <w:color w:val="auto"/>
          <w:sz w:val="24"/>
          <w:szCs w:val="24"/>
          <w:highlight w:val="none"/>
          <w:u w:val="single"/>
        </w:rPr>
        <w:t>南通日报社(南通报业传媒集团）网络信息安全等级测评服务</w:t>
      </w:r>
    </w:p>
    <w:p>
      <w:pPr>
        <w:spacing w:line="600" w:lineRule="auto"/>
        <w:rPr>
          <w:rFonts w:hint="eastAsia" w:ascii="宋体" w:hAnsi="宋体" w:eastAsia="宋体" w:cs="宋体"/>
          <w:color w:val="auto"/>
          <w:sz w:val="24"/>
          <w:szCs w:val="24"/>
          <w:highlight w:val="none"/>
        </w:rPr>
      </w:pPr>
    </w:p>
    <w:p>
      <w:pPr>
        <w:spacing w:line="60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w:t>
      </w:r>
      <w:r>
        <w:rPr>
          <w:rFonts w:hint="eastAsia" w:ascii="宋体" w:hAnsi="宋体" w:eastAsia="宋体" w:cs="宋体"/>
          <w:b/>
          <w:color w:val="auto"/>
          <w:sz w:val="24"/>
          <w:szCs w:val="24"/>
          <w:highlight w:val="none"/>
          <w:u w:val="single"/>
        </w:rPr>
        <w:t xml:space="preserve">                                    </w:t>
      </w:r>
    </w:p>
    <w:p>
      <w:pPr>
        <w:spacing w:line="600" w:lineRule="auto"/>
        <w:ind w:left="1282" w:leftChars="171" w:hanging="923" w:hangingChars="38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（盖公章）</w:t>
      </w:r>
    </w:p>
    <w:p>
      <w:pPr>
        <w:spacing w:line="600" w:lineRule="auto"/>
        <w:rPr>
          <w:rFonts w:hint="eastAsia" w:ascii="宋体" w:hAnsi="宋体" w:eastAsia="宋体" w:cs="宋体"/>
          <w:b/>
          <w:color w:val="auto"/>
          <w:sz w:val="24"/>
          <w:szCs w:val="24"/>
          <w:highlight w:val="none"/>
          <w:u w:val="single"/>
        </w:rPr>
      </w:pPr>
      <w:r>
        <w:rPr>
          <w:rFonts w:hint="eastAsia" w:ascii="宋体" w:hAnsi="宋体" w:eastAsia="宋体" w:cs="宋体"/>
          <w:b/>
          <w:color w:val="auto"/>
          <w:sz w:val="24"/>
          <w:szCs w:val="24"/>
          <w:highlight w:val="none"/>
        </w:rPr>
        <w:t>法定代表人签字：</w:t>
      </w:r>
      <w:r>
        <w:rPr>
          <w:rFonts w:hint="eastAsia" w:ascii="宋体" w:hAnsi="宋体" w:eastAsia="宋体" w:cs="宋体"/>
          <w:b/>
          <w:color w:val="auto"/>
          <w:sz w:val="24"/>
          <w:szCs w:val="24"/>
          <w:highlight w:val="none"/>
          <w:u w:val="single"/>
        </w:rPr>
        <w:t xml:space="preserve">                              </w:t>
      </w:r>
    </w:p>
    <w:p>
      <w:pPr>
        <w:spacing w:line="600" w:lineRule="auto"/>
        <w:ind w:left="1282" w:leftChars="171" w:hanging="923" w:hangingChars="38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（或委托授权代表）</w:t>
      </w:r>
    </w:p>
    <w:p>
      <w:pPr>
        <w:spacing w:line="600" w:lineRule="auto"/>
        <w:ind w:left="1278" w:leftChars="171" w:hanging="919" w:hangingChars="383"/>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响应人地址：</w:t>
      </w:r>
      <w:r>
        <w:rPr>
          <w:rFonts w:hint="eastAsia" w:ascii="宋体" w:hAnsi="宋体" w:eastAsia="宋体" w:cs="宋体"/>
          <w:color w:val="auto"/>
          <w:sz w:val="24"/>
          <w:szCs w:val="24"/>
          <w:highlight w:val="none"/>
          <w:u w:val="single"/>
        </w:rPr>
        <w:t xml:space="preserve">                         </w:t>
      </w:r>
    </w:p>
    <w:p>
      <w:pPr>
        <w:spacing w:line="600" w:lineRule="auto"/>
        <w:ind w:left="1278" w:leftChars="171" w:hanging="919" w:hangingChars="383"/>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(传真)</w:t>
      </w:r>
    </w:p>
    <w:p>
      <w:pPr>
        <w:spacing w:line="60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p>
    <w:p>
      <w:pPr>
        <w:pStyle w:val="41"/>
        <w:ind w:left="0" w:firstLine="1549" w:firstLineChars="643"/>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rPr>
        <w:br w:type="page"/>
      </w:r>
    </w:p>
    <w:p>
      <w:pPr>
        <w:pStyle w:val="40"/>
        <w:snapToGrid w:val="0"/>
        <w:spacing w:line="300" w:lineRule="auto"/>
        <w:ind w:left="140" w:firstLine="361" w:firstLineChars="150"/>
        <w:contextualSpacing/>
        <w:rPr>
          <w:rFonts w:hint="eastAsia" w:ascii="宋体" w:hAnsi="宋体" w:eastAsia="宋体" w:cs="宋体"/>
          <w:b/>
          <w:color w:val="auto"/>
          <w:sz w:val="24"/>
          <w:szCs w:val="24"/>
          <w:highlight w:val="none"/>
        </w:rPr>
      </w:pPr>
    </w:p>
    <w:p>
      <w:pPr>
        <w:pStyle w:val="40"/>
        <w:ind w:firstLine="0" w:firstLineChars="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目      录</w:t>
      </w:r>
    </w:p>
    <w:p>
      <w:pPr>
        <w:pStyle w:val="40"/>
        <w:ind w:firstLine="577"/>
        <w:rPr>
          <w:rFonts w:hint="eastAsia" w:ascii="宋体" w:hAnsi="宋体" w:eastAsia="宋体" w:cs="宋体"/>
          <w:color w:val="auto"/>
          <w:sz w:val="24"/>
          <w:szCs w:val="24"/>
          <w:highlight w:val="none"/>
        </w:rPr>
      </w:pPr>
    </w:p>
    <w:p>
      <w:pPr>
        <w:pStyle w:val="40"/>
        <w:snapToGrid w:val="0"/>
        <w:spacing w:line="500" w:lineRule="exact"/>
        <w:ind w:firstLine="579"/>
        <w:contextualSpacing/>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请按照竞争性磋商采购文件商务技术响应文件要求组成内容编制目录。</w:t>
      </w:r>
    </w:p>
    <w:p>
      <w:pPr>
        <w:pStyle w:val="40"/>
        <w:snapToGrid w:val="0"/>
        <w:spacing w:line="500" w:lineRule="exact"/>
        <w:ind w:firstLine="579"/>
        <w:contextualSpacing/>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例如格式，仅供参考：</w:t>
      </w:r>
    </w:p>
    <w:p>
      <w:pPr>
        <w:tabs>
          <w:tab w:val="left" w:pos="1260"/>
        </w:tabs>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1.投标人情况一览表</w:t>
      </w:r>
    </w:p>
    <w:p>
      <w:pPr>
        <w:pStyle w:val="40"/>
        <w:snapToGrid w:val="0"/>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2.商务部分正负偏离表</w:t>
      </w:r>
    </w:p>
    <w:p>
      <w:pPr>
        <w:pStyle w:val="40"/>
        <w:snapToGrid w:val="0"/>
        <w:spacing w:line="500" w:lineRule="exact"/>
        <w:ind w:firstLine="577"/>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3.技术部分正负偏离表</w:t>
      </w:r>
    </w:p>
    <w:p>
      <w:pPr>
        <w:pStyle w:val="42"/>
        <w:snapToGrid w:val="0"/>
        <w:spacing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填制正负偏离表，完全响应的，请以空白表列示。不完全响应的，必须在偏离表中列示；列示不全的，视同故意隐瞒。</w:t>
      </w:r>
    </w:p>
    <w:p>
      <w:pPr>
        <w:pStyle w:val="40"/>
        <w:snapToGrid w:val="0"/>
        <w:spacing w:line="500" w:lineRule="exact"/>
        <w:ind w:firstLine="482" w:firstLineChars="200"/>
        <w:contextualSpacing/>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其它：</w:t>
      </w:r>
    </w:p>
    <w:p>
      <w:pPr>
        <w:pStyle w:val="40"/>
        <w:snapToGrid w:val="0"/>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4.货物（服务）清单</w:t>
      </w:r>
    </w:p>
    <w:p>
      <w:pPr>
        <w:pStyle w:val="40"/>
        <w:snapToGrid w:val="0"/>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5.售后服务计划</w:t>
      </w:r>
    </w:p>
    <w:p>
      <w:pPr>
        <w:pStyle w:val="40"/>
        <w:snapToGrid w:val="0"/>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6.拟安排本项目技术人员情况表</w:t>
      </w:r>
    </w:p>
    <w:p>
      <w:pPr>
        <w:pStyle w:val="40"/>
        <w:snapToGrid w:val="0"/>
        <w:spacing w:line="500" w:lineRule="exact"/>
        <w:ind w:firstLine="577"/>
        <w:contextualSpacing/>
        <w:rPr>
          <w:rFonts w:hint="eastAsia" w:ascii="宋体" w:hAnsi="宋体" w:eastAsia="宋体" w:cs="宋体"/>
          <w:color w:val="auto"/>
          <w:sz w:val="24"/>
          <w:szCs w:val="24"/>
          <w:highlight w:val="none"/>
        </w:rPr>
      </w:pPr>
    </w:p>
    <w:p>
      <w:pPr>
        <w:pStyle w:val="40"/>
        <w:snapToGrid w:val="0"/>
        <w:spacing w:line="500" w:lineRule="exact"/>
        <w:ind w:firstLine="577"/>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为方便评委评审，请响应人按评审办法中所涉及的事项顺序进行编制，可以补充相关材料。</w:t>
      </w:r>
    </w:p>
    <w:p>
      <w:pPr>
        <w:pStyle w:val="40"/>
        <w:snapToGrid w:val="0"/>
        <w:spacing w:line="500" w:lineRule="exact"/>
        <w:ind w:firstLine="577"/>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评审办法中未涉及的事项，响应人认为需要提交的其他资料</w:t>
      </w:r>
    </w:p>
    <w:p>
      <w:pPr>
        <w:pStyle w:val="40"/>
        <w:snapToGrid w:val="0"/>
        <w:spacing w:line="500" w:lineRule="exact"/>
        <w:ind w:firstLine="0" w:firstLineChars="0"/>
        <w:contextualSpacing/>
        <w:rPr>
          <w:rFonts w:hint="eastAsia" w:ascii="宋体" w:hAnsi="宋体" w:eastAsia="宋体" w:cs="宋体"/>
          <w:b/>
          <w:color w:val="auto"/>
          <w:sz w:val="24"/>
          <w:szCs w:val="24"/>
          <w:highlight w:val="none"/>
        </w:rPr>
      </w:pPr>
    </w:p>
    <w:p>
      <w:pPr>
        <w:pStyle w:val="40"/>
        <w:snapToGrid w:val="0"/>
        <w:spacing w:line="500" w:lineRule="exact"/>
        <w:ind w:firstLine="0" w:firstLineChars="0"/>
        <w:contextualSpacing/>
        <w:rPr>
          <w:rFonts w:hint="eastAsia" w:ascii="宋体" w:hAnsi="宋体" w:eastAsia="宋体" w:cs="宋体"/>
          <w:b/>
          <w:color w:val="auto"/>
          <w:sz w:val="24"/>
          <w:szCs w:val="24"/>
          <w:highlight w:val="none"/>
        </w:rPr>
      </w:pPr>
    </w:p>
    <w:p>
      <w:pPr>
        <w:pStyle w:val="40"/>
        <w:snapToGrid w:val="0"/>
        <w:spacing w:line="500" w:lineRule="exact"/>
        <w:ind w:firstLine="0" w:firstLineChars="0"/>
        <w:contextualSpacing/>
        <w:rPr>
          <w:rFonts w:hint="eastAsia" w:ascii="宋体" w:hAnsi="宋体" w:eastAsia="宋体" w:cs="宋体"/>
          <w:b/>
          <w:color w:val="auto"/>
          <w:sz w:val="24"/>
          <w:szCs w:val="24"/>
          <w:highlight w:val="none"/>
        </w:rPr>
      </w:pPr>
    </w:p>
    <w:p>
      <w:pPr>
        <w:pStyle w:val="40"/>
        <w:snapToGrid w:val="0"/>
        <w:spacing w:line="500" w:lineRule="exact"/>
        <w:ind w:firstLine="0" w:firstLineChars="0"/>
        <w:contextualSpacing/>
        <w:rPr>
          <w:rFonts w:hint="eastAsia" w:ascii="宋体" w:hAnsi="宋体" w:eastAsia="宋体" w:cs="宋体"/>
          <w:b/>
          <w:color w:val="auto"/>
          <w:sz w:val="24"/>
          <w:szCs w:val="24"/>
          <w:highlight w:val="none"/>
        </w:rPr>
      </w:pPr>
    </w:p>
    <w:p>
      <w:pPr>
        <w:pStyle w:val="40"/>
        <w:snapToGrid w:val="0"/>
        <w:spacing w:line="500" w:lineRule="exact"/>
        <w:ind w:firstLine="0" w:firstLineChars="0"/>
        <w:contextualSpacing/>
        <w:rPr>
          <w:rFonts w:hint="eastAsia" w:ascii="宋体" w:hAnsi="宋体" w:eastAsia="宋体" w:cs="宋体"/>
          <w:b/>
          <w:color w:val="auto"/>
          <w:sz w:val="24"/>
          <w:szCs w:val="24"/>
          <w:highlight w:val="none"/>
        </w:rPr>
      </w:pPr>
    </w:p>
    <w:p>
      <w:pPr>
        <w:pStyle w:val="40"/>
        <w:snapToGrid w:val="0"/>
        <w:spacing w:line="500" w:lineRule="exact"/>
        <w:ind w:firstLine="0" w:firstLineChars="0"/>
        <w:contextualSpacing/>
        <w:rPr>
          <w:rFonts w:hint="eastAsia" w:ascii="宋体" w:hAnsi="宋体" w:eastAsia="宋体" w:cs="宋体"/>
          <w:b/>
          <w:color w:val="auto"/>
          <w:sz w:val="24"/>
          <w:szCs w:val="24"/>
          <w:highlight w:val="none"/>
        </w:rPr>
      </w:pPr>
    </w:p>
    <w:p>
      <w:pPr>
        <w:pStyle w:val="40"/>
        <w:snapToGrid w:val="0"/>
        <w:spacing w:line="500" w:lineRule="exact"/>
        <w:ind w:firstLine="0" w:firstLineChars="0"/>
        <w:contextualSpacing/>
        <w:rPr>
          <w:rFonts w:hint="eastAsia" w:ascii="宋体" w:hAnsi="宋体" w:eastAsia="宋体" w:cs="宋体"/>
          <w:b/>
          <w:color w:val="auto"/>
          <w:sz w:val="24"/>
          <w:szCs w:val="24"/>
          <w:highlight w:val="none"/>
        </w:rPr>
      </w:pPr>
    </w:p>
    <w:p>
      <w:pPr>
        <w:pStyle w:val="40"/>
        <w:snapToGrid w:val="0"/>
        <w:spacing w:line="300" w:lineRule="auto"/>
        <w:ind w:firstLine="0" w:firstLineChars="0"/>
        <w:contextualSpacing/>
        <w:rPr>
          <w:rFonts w:hint="eastAsia" w:ascii="宋体" w:hAnsi="宋体" w:eastAsia="宋体" w:cs="宋体"/>
          <w:b/>
          <w:color w:val="auto"/>
          <w:sz w:val="24"/>
          <w:szCs w:val="24"/>
          <w:highlight w:val="none"/>
        </w:rPr>
      </w:pPr>
    </w:p>
    <w:p>
      <w:pPr>
        <w:pStyle w:val="40"/>
        <w:snapToGrid w:val="0"/>
        <w:spacing w:line="300" w:lineRule="auto"/>
        <w:ind w:firstLine="0" w:firstLineChars="0"/>
        <w:contextualSpacing/>
        <w:rPr>
          <w:rFonts w:hint="eastAsia" w:ascii="宋体" w:hAnsi="宋体" w:eastAsia="宋体" w:cs="宋体"/>
          <w:b/>
          <w:color w:val="auto"/>
          <w:sz w:val="24"/>
          <w:szCs w:val="24"/>
          <w:highlight w:val="none"/>
        </w:rPr>
      </w:pP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附件1</w:t>
      </w:r>
    </w:p>
    <w:p>
      <w:pPr>
        <w:tabs>
          <w:tab w:val="left" w:pos="1260"/>
        </w:tabs>
        <w:snapToGrid w:val="0"/>
        <w:spacing w:line="300" w:lineRule="auto"/>
        <w:contextualSpacing/>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响应人情况一览表</w:t>
      </w:r>
    </w:p>
    <w:tbl>
      <w:tblPr>
        <w:tblStyle w:val="18"/>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25"/>
        <w:gridCol w:w="851"/>
        <w:gridCol w:w="367"/>
        <w:gridCol w:w="1050"/>
        <w:gridCol w:w="567"/>
        <w:gridCol w:w="946"/>
        <w:gridCol w:w="1263"/>
        <w:gridCol w:w="151"/>
        <w:gridCol w:w="1122"/>
        <w:gridCol w:w="62"/>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gridSpan w:val="2"/>
            <w:tcBorders>
              <w:top w:val="double" w:color="auto" w:sz="4" w:space="0"/>
              <w:left w:val="double" w:color="auto" w:sz="4" w:space="0"/>
            </w:tcBorders>
            <w:noWrap w:val="0"/>
            <w:vAlign w:val="center"/>
          </w:tcPr>
          <w:p>
            <w:pPr>
              <w:tabs>
                <w:tab w:val="left" w:pos="432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单位名称</w:t>
            </w:r>
          </w:p>
        </w:tc>
        <w:tc>
          <w:tcPr>
            <w:tcW w:w="7923" w:type="dxa"/>
            <w:gridSpan w:val="10"/>
            <w:tcBorders>
              <w:top w:val="double" w:color="auto" w:sz="4" w:space="0"/>
              <w:right w:val="double" w:color="auto" w:sz="4" w:space="0"/>
            </w:tcBorders>
            <w:noWrap w:val="0"/>
            <w:vAlign w:val="center"/>
          </w:tcPr>
          <w:p>
            <w:pPr>
              <w:tabs>
                <w:tab w:val="left" w:pos="4320"/>
              </w:tabs>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93" w:type="dxa"/>
            <w:gridSpan w:val="3"/>
            <w:tcBorders>
              <w:left w:val="double" w:color="auto" w:sz="4" w:space="0"/>
              <w:right w:val="single" w:color="auto" w:sz="4" w:space="0"/>
            </w:tcBorders>
            <w:noWrap w:val="0"/>
            <w:vAlign w:val="center"/>
          </w:tcPr>
          <w:p>
            <w:pPr>
              <w:tabs>
                <w:tab w:val="left" w:pos="4320"/>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单位优势及特长</w:t>
            </w:r>
          </w:p>
        </w:tc>
        <w:tc>
          <w:tcPr>
            <w:tcW w:w="7072" w:type="dxa"/>
            <w:gridSpan w:val="9"/>
            <w:tcBorders>
              <w:left w:val="single" w:color="auto" w:sz="4" w:space="0"/>
              <w:right w:val="double" w:color="auto" w:sz="4" w:space="0"/>
            </w:tcBorders>
            <w:noWrap w:val="0"/>
            <w:vAlign w:val="center"/>
          </w:tcPr>
          <w:p>
            <w:pPr>
              <w:tabs>
                <w:tab w:val="left" w:pos="4320"/>
              </w:tabs>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left w:val="double" w:color="auto" w:sz="4" w:space="0"/>
            </w:tcBorders>
            <w:noWrap w:val="0"/>
            <w:vAlign w:val="center"/>
          </w:tcPr>
          <w:p>
            <w:pPr>
              <w:tabs>
                <w:tab w:val="left" w:pos="4320"/>
              </w:tabs>
              <w:ind w:left="266" w:hanging="266" w:hangingChars="11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p>
            <w:pPr>
              <w:tabs>
                <w:tab w:val="left" w:pos="4320"/>
              </w:tabs>
              <w:ind w:left="266" w:hanging="266" w:hangingChars="11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概况</w:t>
            </w:r>
          </w:p>
        </w:tc>
        <w:tc>
          <w:tcPr>
            <w:tcW w:w="1276" w:type="dxa"/>
            <w:gridSpan w:val="2"/>
            <w:noWrap w:val="0"/>
            <w:vAlign w:val="center"/>
          </w:tcPr>
          <w:p>
            <w:pPr>
              <w:tabs>
                <w:tab w:val="left" w:pos="432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职工总数</w:t>
            </w:r>
          </w:p>
        </w:tc>
        <w:tc>
          <w:tcPr>
            <w:tcW w:w="1417" w:type="dxa"/>
            <w:gridSpan w:val="2"/>
            <w:noWrap w:val="0"/>
            <w:vAlign w:val="center"/>
          </w:tcPr>
          <w:p>
            <w:pPr>
              <w:tabs>
                <w:tab w:val="left" w:pos="4320"/>
              </w:tabs>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w:t>
            </w:r>
          </w:p>
        </w:tc>
        <w:tc>
          <w:tcPr>
            <w:tcW w:w="567" w:type="dxa"/>
            <w:vMerge w:val="restart"/>
            <w:noWrap w:val="0"/>
            <w:vAlign w:val="center"/>
          </w:tcPr>
          <w:p>
            <w:pPr>
              <w:tabs>
                <w:tab w:val="left" w:pos="4320"/>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上一年主要经济指标</w:t>
            </w:r>
          </w:p>
        </w:tc>
        <w:tc>
          <w:tcPr>
            <w:tcW w:w="946" w:type="dxa"/>
            <w:noWrap w:val="0"/>
            <w:vAlign w:val="center"/>
          </w:tcPr>
          <w:p>
            <w:pPr>
              <w:tabs>
                <w:tab w:val="left" w:pos="432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营业额</w:t>
            </w:r>
          </w:p>
        </w:tc>
        <w:tc>
          <w:tcPr>
            <w:tcW w:w="1414" w:type="dxa"/>
            <w:gridSpan w:val="2"/>
            <w:noWrap w:val="0"/>
            <w:vAlign w:val="center"/>
          </w:tcPr>
          <w:p>
            <w:pPr>
              <w:tabs>
                <w:tab w:val="left" w:pos="4320"/>
              </w:tabs>
              <w:rPr>
                <w:rFonts w:hint="eastAsia" w:ascii="宋体" w:hAnsi="宋体" w:eastAsia="宋体" w:cs="宋体"/>
                <w:color w:val="auto"/>
                <w:sz w:val="24"/>
                <w:szCs w:val="24"/>
                <w:highlight w:val="none"/>
              </w:rPr>
            </w:pPr>
          </w:p>
        </w:tc>
        <w:tc>
          <w:tcPr>
            <w:tcW w:w="1184" w:type="dxa"/>
            <w:gridSpan w:val="2"/>
            <w:noWrap w:val="0"/>
            <w:vAlign w:val="center"/>
          </w:tcPr>
          <w:p>
            <w:pPr>
              <w:tabs>
                <w:tab w:val="left" w:pos="432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实现利润</w:t>
            </w:r>
          </w:p>
        </w:tc>
        <w:tc>
          <w:tcPr>
            <w:tcW w:w="1544" w:type="dxa"/>
            <w:tcBorders>
              <w:right w:val="double" w:color="auto" w:sz="4" w:space="0"/>
            </w:tcBorders>
            <w:noWrap w:val="0"/>
            <w:vAlign w:val="center"/>
          </w:tcPr>
          <w:p>
            <w:pPr>
              <w:tabs>
                <w:tab w:val="left" w:pos="4320"/>
              </w:tabs>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noWrap w:val="0"/>
            <w:vAlign w:val="center"/>
          </w:tcPr>
          <w:p>
            <w:pPr>
              <w:tabs>
                <w:tab w:val="left" w:pos="4320"/>
              </w:tabs>
              <w:ind w:left="266" w:hanging="266" w:hangingChars="111"/>
              <w:rPr>
                <w:rFonts w:hint="eastAsia" w:ascii="宋体" w:hAnsi="宋体" w:eastAsia="宋体" w:cs="宋体"/>
                <w:color w:val="auto"/>
                <w:sz w:val="24"/>
                <w:szCs w:val="24"/>
                <w:highlight w:val="none"/>
              </w:rPr>
            </w:pPr>
          </w:p>
        </w:tc>
        <w:tc>
          <w:tcPr>
            <w:tcW w:w="1276" w:type="dxa"/>
            <w:gridSpan w:val="2"/>
            <w:noWrap w:val="0"/>
            <w:vAlign w:val="center"/>
          </w:tcPr>
          <w:p>
            <w:pPr>
              <w:tabs>
                <w:tab w:val="left" w:pos="432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流动资金</w:t>
            </w:r>
          </w:p>
        </w:tc>
        <w:tc>
          <w:tcPr>
            <w:tcW w:w="1417" w:type="dxa"/>
            <w:gridSpan w:val="2"/>
            <w:noWrap w:val="0"/>
            <w:vAlign w:val="center"/>
          </w:tcPr>
          <w:p>
            <w:pPr>
              <w:tabs>
                <w:tab w:val="left" w:pos="4320"/>
              </w:tabs>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万元</w:t>
            </w:r>
          </w:p>
        </w:tc>
        <w:tc>
          <w:tcPr>
            <w:tcW w:w="567" w:type="dxa"/>
            <w:vMerge w:val="continue"/>
            <w:noWrap w:val="0"/>
            <w:vAlign w:val="center"/>
          </w:tcPr>
          <w:p>
            <w:pPr>
              <w:tabs>
                <w:tab w:val="left" w:pos="4320"/>
              </w:tabs>
              <w:rPr>
                <w:rFonts w:hint="eastAsia" w:ascii="宋体" w:hAnsi="宋体" w:eastAsia="宋体" w:cs="宋体"/>
                <w:color w:val="auto"/>
                <w:sz w:val="24"/>
                <w:szCs w:val="24"/>
                <w:highlight w:val="none"/>
              </w:rPr>
            </w:pPr>
          </w:p>
        </w:tc>
        <w:tc>
          <w:tcPr>
            <w:tcW w:w="946" w:type="dxa"/>
            <w:vMerge w:val="restart"/>
            <w:noWrap w:val="0"/>
            <w:vAlign w:val="center"/>
          </w:tcPr>
          <w:p>
            <w:pPr>
              <w:tabs>
                <w:tab w:val="left" w:pos="432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w:t>
            </w:r>
          </w:p>
          <w:p>
            <w:pPr>
              <w:tabs>
                <w:tab w:val="left" w:pos="432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w:t>
            </w:r>
          </w:p>
        </w:tc>
        <w:tc>
          <w:tcPr>
            <w:tcW w:w="4142" w:type="dxa"/>
            <w:gridSpan w:val="5"/>
            <w:tcBorders>
              <w:right w:val="double" w:color="auto" w:sz="4" w:space="0"/>
            </w:tcBorders>
            <w:noWrap w:val="0"/>
            <w:vAlign w:val="center"/>
          </w:tcPr>
          <w:p>
            <w:pPr>
              <w:tabs>
                <w:tab w:val="left" w:pos="4320"/>
              </w:tabs>
              <w:spacing w:before="120" w:after="1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817" w:type="dxa"/>
            <w:vMerge w:val="continue"/>
            <w:tcBorders>
              <w:left w:val="double" w:color="auto" w:sz="4" w:space="0"/>
            </w:tcBorders>
            <w:noWrap w:val="0"/>
            <w:vAlign w:val="center"/>
          </w:tcPr>
          <w:p>
            <w:pPr>
              <w:tabs>
                <w:tab w:val="left" w:pos="4320"/>
              </w:tabs>
              <w:ind w:left="266" w:hanging="266" w:hangingChars="111"/>
              <w:rPr>
                <w:rFonts w:hint="eastAsia" w:ascii="宋体" w:hAnsi="宋体" w:eastAsia="宋体" w:cs="宋体"/>
                <w:color w:val="auto"/>
                <w:sz w:val="24"/>
                <w:szCs w:val="24"/>
                <w:highlight w:val="none"/>
              </w:rPr>
            </w:pPr>
          </w:p>
        </w:tc>
        <w:tc>
          <w:tcPr>
            <w:tcW w:w="1276" w:type="dxa"/>
            <w:gridSpan w:val="2"/>
            <w:noWrap w:val="0"/>
            <w:vAlign w:val="center"/>
          </w:tcPr>
          <w:p>
            <w:pPr>
              <w:tabs>
                <w:tab w:val="left" w:pos="432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固定资产</w:t>
            </w:r>
          </w:p>
          <w:p>
            <w:pPr>
              <w:tabs>
                <w:tab w:val="left" w:pos="432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（万元）</w:t>
            </w:r>
          </w:p>
        </w:tc>
        <w:tc>
          <w:tcPr>
            <w:tcW w:w="1417" w:type="dxa"/>
            <w:gridSpan w:val="2"/>
            <w:noWrap w:val="0"/>
            <w:vAlign w:val="center"/>
          </w:tcPr>
          <w:p>
            <w:pPr>
              <w:tabs>
                <w:tab w:val="left" w:pos="-48"/>
                <w:tab w:val="left" w:pos="4320"/>
              </w:tabs>
              <w:ind w:right="-133" w:hanging="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原值：</w:t>
            </w:r>
          </w:p>
          <w:p>
            <w:pPr>
              <w:tabs>
                <w:tab w:val="left" w:pos="-48"/>
                <w:tab w:val="left" w:pos="4320"/>
              </w:tabs>
              <w:ind w:hanging="48"/>
              <w:jc w:val="right"/>
              <w:rPr>
                <w:rFonts w:hint="eastAsia" w:ascii="宋体" w:hAnsi="宋体" w:eastAsia="宋体" w:cs="宋体"/>
                <w:color w:val="auto"/>
                <w:sz w:val="24"/>
                <w:szCs w:val="24"/>
                <w:highlight w:val="none"/>
              </w:rPr>
            </w:pPr>
          </w:p>
          <w:p>
            <w:pPr>
              <w:tabs>
                <w:tab w:val="left" w:pos="-48"/>
                <w:tab w:val="left" w:pos="4320"/>
              </w:tabs>
              <w:ind w:right="-133" w:hanging="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净值：</w:t>
            </w:r>
          </w:p>
          <w:p>
            <w:pPr>
              <w:tabs>
                <w:tab w:val="left" w:pos="-48"/>
                <w:tab w:val="left" w:pos="4320"/>
              </w:tabs>
              <w:ind w:hanging="48"/>
              <w:jc w:val="right"/>
              <w:rPr>
                <w:rFonts w:hint="eastAsia" w:ascii="宋体" w:hAnsi="宋体" w:eastAsia="宋体" w:cs="宋体"/>
                <w:color w:val="auto"/>
                <w:sz w:val="24"/>
                <w:szCs w:val="24"/>
                <w:highlight w:val="none"/>
              </w:rPr>
            </w:pPr>
          </w:p>
        </w:tc>
        <w:tc>
          <w:tcPr>
            <w:tcW w:w="567" w:type="dxa"/>
            <w:vMerge w:val="continue"/>
            <w:noWrap w:val="0"/>
            <w:vAlign w:val="center"/>
          </w:tcPr>
          <w:p>
            <w:pPr>
              <w:tabs>
                <w:tab w:val="left" w:pos="4320"/>
              </w:tabs>
              <w:rPr>
                <w:rFonts w:hint="eastAsia" w:ascii="宋体" w:hAnsi="宋体" w:eastAsia="宋体" w:cs="宋体"/>
                <w:color w:val="auto"/>
                <w:sz w:val="24"/>
                <w:szCs w:val="24"/>
                <w:highlight w:val="none"/>
              </w:rPr>
            </w:pPr>
          </w:p>
        </w:tc>
        <w:tc>
          <w:tcPr>
            <w:tcW w:w="946" w:type="dxa"/>
            <w:vMerge w:val="continue"/>
            <w:noWrap w:val="0"/>
            <w:vAlign w:val="center"/>
          </w:tcPr>
          <w:p>
            <w:pPr>
              <w:tabs>
                <w:tab w:val="left" w:pos="4320"/>
              </w:tabs>
              <w:jc w:val="center"/>
              <w:rPr>
                <w:rFonts w:hint="eastAsia" w:ascii="宋体" w:hAnsi="宋体" w:eastAsia="宋体" w:cs="宋体"/>
                <w:color w:val="auto"/>
                <w:sz w:val="24"/>
                <w:szCs w:val="24"/>
                <w:highlight w:val="none"/>
              </w:rPr>
            </w:pPr>
          </w:p>
        </w:tc>
        <w:tc>
          <w:tcPr>
            <w:tcW w:w="4142" w:type="dxa"/>
            <w:gridSpan w:val="5"/>
            <w:tcBorders>
              <w:right w:val="double" w:color="auto" w:sz="4" w:space="0"/>
            </w:tcBorders>
            <w:noWrap w:val="0"/>
            <w:vAlign w:val="center"/>
          </w:tcPr>
          <w:p>
            <w:pPr>
              <w:tabs>
                <w:tab w:val="left" w:pos="4320"/>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noWrap w:val="0"/>
            <w:vAlign w:val="center"/>
          </w:tcPr>
          <w:p>
            <w:pPr>
              <w:tabs>
                <w:tab w:val="left" w:pos="4320"/>
              </w:tabs>
              <w:ind w:left="266" w:hanging="266" w:hangingChars="111"/>
              <w:rPr>
                <w:rFonts w:hint="eastAsia" w:ascii="宋体" w:hAnsi="宋体" w:eastAsia="宋体" w:cs="宋体"/>
                <w:color w:val="auto"/>
                <w:sz w:val="24"/>
                <w:szCs w:val="24"/>
                <w:highlight w:val="none"/>
              </w:rPr>
            </w:pPr>
          </w:p>
        </w:tc>
        <w:tc>
          <w:tcPr>
            <w:tcW w:w="1276" w:type="dxa"/>
            <w:gridSpan w:val="2"/>
            <w:noWrap w:val="0"/>
            <w:vAlign w:val="center"/>
          </w:tcPr>
          <w:p>
            <w:pPr>
              <w:tabs>
                <w:tab w:val="left" w:pos="432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占地面积</w:t>
            </w:r>
          </w:p>
        </w:tc>
        <w:tc>
          <w:tcPr>
            <w:tcW w:w="1417" w:type="dxa"/>
            <w:gridSpan w:val="2"/>
            <w:noWrap w:val="0"/>
            <w:vAlign w:val="center"/>
          </w:tcPr>
          <w:p>
            <w:pPr>
              <w:tabs>
                <w:tab w:val="left" w:pos="4320"/>
              </w:tabs>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M</w:t>
            </w:r>
            <w:r>
              <w:rPr>
                <w:rFonts w:hint="eastAsia" w:ascii="宋体" w:hAnsi="宋体" w:eastAsia="宋体" w:cs="宋体"/>
                <w:color w:val="auto"/>
                <w:sz w:val="24"/>
                <w:szCs w:val="24"/>
                <w:highlight w:val="none"/>
                <w:vertAlign w:val="superscript"/>
              </w:rPr>
              <w:t>2</w:t>
            </w:r>
          </w:p>
        </w:tc>
        <w:tc>
          <w:tcPr>
            <w:tcW w:w="567" w:type="dxa"/>
            <w:vMerge w:val="continue"/>
            <w:noWrap w:val="0"/>
            <w:vAlign w:val="center"/>
          </w:tcPr>
          <w:p>
            <w:pPr>
              <w:tabs>
                <w:tab w:val="left" w:pos="4320"/>
              </w:tabs>
              <w:rPr>
                <w:rFonts w:hint="eastAsia" w:ascii="宋体" w:hAnsi="宋体" w:eastAsia="宋体" w:cs="宋体"/>
                <w:color w:val="auto"/>
                <w:sz w:val="24"/>
                <w:szCs w:val="24"/>
                <w:highlight w:val="none"/>
              </w:rPr>
            </w:pPr>
          </w:p>
        </w:tc>
        <w:tc>
          <w:tcPr>
            <w:tcW w:w="946" w:type="dxa"/>
            <w:vMerge w:val="continue"/>
            <w:noWrap w:val="0"/>
            <w:vAlign w:val="center"/>
          </w:tcPr>
          <w:p>
            <w:pPr>
              <w:tabs>
                <w:tab w:val="left" w:pos="4320"/>
              </w:tabs>
              <w:jc w:val="center"/>
              <w:rPr>
                <w:rFonts w:hint="eastAsia" w:ascii="宋体" w:hAnsi="宋体" w:eastAsia="宋体" w:cs="宋体"/>
                <w:color w:val="auto"/>
                <w:sz w:val="24"/>
                <w:szCs w:val="24"/>
                <w:highlight w:val="none"/>
              </w:rPr>
            </w:pPr>
          </w:p>
        </w:tc>
        <w:tc>
          <w:tcPr>
            <w:tcW w:w="4142" w:type="dxa"/>
            <w:gridSpan w:val="5"/>
            <w:tcBorders>
              <w:right w:val="double" w:color="auto" w:sz="4" w:space="0"/>
            </w:tcBorders>
            <w:noWrap w:val="0"/>
            <w:vAlign w:val="center"/>
          </w:tcPr>
          <w:p>
            <w:pPr>
              <w:tabs>
                <w:tab w:val="left" w:pos="4320"/>
              </w:tabs>
              <w:spacing w:before="120" w:after="1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left w:val="double" w:color="auto" w:sz="4" w:space="0"/>
            </w:tcBorders>
            <w:noWrap w:val="0"/>
            <w:vAlign w:val="center"/>
          </w:tcPr>
          <w:p>
            <w:pPr>
              <w:tabs>
                <w:tab w:val="left" w:pos="4320"/>
              </w:tabs>
              <w:ind w:left="266" w:hanging="266" w:hangingChars="11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w:t>
            </w:r>
          </w:p>
          <w:p>
            <w:pPr>
              <w:tabs>
                <w:tab w:val="left" w:pos="4320"/>
              </w:tabs>
              <w:ind w:left="266" w:hanging="266" w:hangingChars="11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w:t>
            </w:r>
          </w:p>
          <w:p>
            <w:pPr>
              <w:tabs>
                <w:tab w:val="left" w:pos="4320"/>
              </w:tabs>
              <w:ind w:left="266" w:hanging="266" w:hangingChars="11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w:t>
            </w:r>
          </w:p>
          <w:p>
            <w:pPr>
              <w:tabs>
                <w:tab w:val="left" w:pos="4320"/>
              </w:tabs>
              <w:ind w:left="266" w:hanging="266" w:hangingChars="11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情况</w:t>
            </w:r>
          </w:p>
        </w:tc>
        <w:tc>
          <w:tcPr>
            <w:tcW w:w="1643" w:type="dxa"/>
            <w:gridSpan w:val="3"/>
            <w:noWrap w:val="0"/>
            <w:vAlign w:val="center"/>
          </w:tcPr>
          <w:p>
            <w:pPr>
              <w:tabs>
                <w:tab w:val="left" w:pos="4320"/>
              </w:tabs>
              <w:spacing w:before="60" w:after="6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本次响应</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产品名称</w:t>
            </w:r>
          </w:p>
        </w:tc>
        <w:tc>
          <w:tcPr>
            <w:tcW w:w="1617" w:type="dxa"/>
            <w:gridSpan w:val="2"/>
            <w:noWrap w:val="0"/>
            <w:vAlign w:val="center"/>
          </w:tcPr>
          <w:p>
            <w:pPr>
              <w:tabs>
                <w:tab w:val="left" w:pos="4320"/>
              </w:tabs>
              <w:spacing w:before="60" w:after="6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型    号</w:t>
            </w:r>
          </w:p>
        </w:tc>
        <w:tc>
          <w:tcPr>
            <w:tcW w:w="946" w:type="dxa"/>
            <w:noWrap w:val="0"/>
            <w:vAlign w:val="center"/>
          </w:tcPr>
          <w:p>
            <w:pPr>
              <w:tabs>
                <w:tab w:val="left" w:pos="4320"/>
              </w:tabs>
              <w:spacing w:before="60" w:after="6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上年</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产销量</w:t>
            </w:r>
          </w:p>
        </w:tc>
        <w:tc>
          <w:tcPr>
            <w:tcW w:w="1263" w:type="dxa"/>
            <w:noWrap w:val="0"/>
            <w:vAlign w:val="center"/>
          </w:tcPr>
          <w:p>
            <w:pPr>
              <w:tabs>
                <w:tab w:val="left" w:pos="4320"/>
              </w:tabs>
              <w:spacing w:before="60" w:after="6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产品技术</w:t>
            </w:r>
          </w:p>
          <w:p>
            <w:pPr>
              <w:tabs>
                <w:tab w:val="left" w:pos="4320"/>
              </w:tabs>
              <w:spacing w:before="60" w:after="6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先进水平</w:t>
            </w:r>
          </w:p>
        </w:tc>
        <w:tc>
          <w:tcPr>
            <w:tcW w:w="1273" w:type="dxa"/>
            <w:gridSpan w:val="2"/>
            <w:noWrap w:val="0"/>
            <w:vAlign w:val="center"/>
          </w:tcPr>
          <w:p>
            <w:pPr>
              <w:tabs>
                <w:tab w:val="left" w:pos="4320"/>
              </w:tabs>
              <w:spacing w:before="60" w:after="6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曾获何级</w:t>
            </w:r>
          </w:p>
          <w:p>
            <w:pPr>
              <w:tabs>
                <w:tab w:val="left" w:pos="4320"/>
              </w:tabs>
              <w:spacing w:before="60" w:after="6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何种奖励</w:t>
            </w:r>
          </w:p>
        </w:tc>
        <w:tc>
          <w:tcPr>
            <w:tcW w:w="1606" w:type="dxa"/>
            <w:gridSpan w:val="2"/>
            <w:tcBorders>
              <w:right w:val="double" w:color="auto" w:sz="4" w:space="0"/>
            </w:tcBorders>
            <w:noWrap w:val="0"/>
            <w:vAlign w:val="center"/>
          </w:tcPr>
          <w:p>
            <w:pPr>
              <w:tabs>
                <w:tab w:val="left" w:pos="4320"/>
              </w:tabs>
              <w:spacing w:before="60" w:after="6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主要用户</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noWrap w:val="0"/>
            <w:vAlign w:val="center"/>
          </w:tcPr>
          <w:p>
            <w:pPr>
              <w:tabs>
                <w:tab w:val="left" w:pos="4320"/>
              </w:tabs>
              <w:rPr>
                <w:rFonts w:hint="eastAsia" w:ascii="宋体" w:hAnsi="宋体" w:eastAsia="宋体" w:cs="宋体"/>
                <w:color w:val="auto"/>
                <w:sz w:val="24"/>
                <w:szCs w:val="24"/>
                <w:highlight w:val="none"/>
              </w:rPr>
            </w:pPr>
          </w:p>
        </w:tc>
        <w:tc>
          <w:tcPr>
            <w:tcW w:w="1643" w:type="dxa"/>
            <w:gridSpan w:val="3"/>
            <w:noWrap w:val="0"/>
            <w:vAlign w:val="center"/>
          </w:tcPr>
          <w:p>
            <w:pPr>
              <w:tabs>
                <w:tab w:val="left" w:pos="4320"/>
              </w:tabs>
              <w:rPr>
                <w:rFonts w:hint="eastAsia" w:ascii="宋体" w:hAnsi="宋体" w:eastAsia="宋体" w:cs="宋体"/>
                <w:color w:val="auto"/>
                <w:sz w:val="24"/>
                <w:szCs w:val="24"/>
                <w:highlight w:val="none"/>
              </w:rPr>
            </w:pPr>
          </w:p>
        </w:tc>
        <w:tc>
          <w:tcPr>
            <w:tcW w:w="1617" w:type="dxa"/>
            <w:gridSpan w:val="2"/>
            <w:noWrap w:val="0"/>
            <w:vAlign w:val="center"/>
          </w:tcPr>
          <w:p>
            <w:pPr>
              <w:tabs>
                <w:tab w:val="left" w:pos="4320"/>
              </w:tabs>
              <w:rPr>
                <w:rFonts w:hint="eastAsia" w:ascii="宋体" w:hAnsi="宋体" w:eastAsia="宋体" w:cs="宋体"/>
                <w:color w:val="auto"/>
                <w:sz w:val="24"/>
                <w:szCs w:val="24"/>
                <w:highlight w:val="none"/>
              </w:rPr>
            </w:pPr>
          </w:p>
        </w:tc>
        <w:tc>
          <w:tcPr>
            <w:tcW w:w="946" w:type="dxa"/>
            <w:noWrap w:val="0"/>
            <w:vAlign w:val="center"/>
          </w:tcPr>
          <w:p>
            <w:pPr>
              <w:tabs>
                <w:tab w:val="left" w:pos="4320"/>
              </w:tabs>
              <w:rPr>
                <w:rFonts w:hint="eastAsia" w:ascii="宋体" w:hAnsi="宋体" w:eastAsia="宋体" w:cs="宋体"/>
                <w:color w:val="auto"/>
                <w:sz w:val="24"/>
                <w:szCs w:val="24"/>
                <w:highlight w:val="none"/>
              </w:rPr>
            </w:pPr>
          </w:p>
        </w:tc>
        <w:tc>
          <w:tcPr>
            <w:tcW w:w="1263" w:type="dxa"/>
            <w:noWrap w:val="0"/>
            <w:vAlign w:val="center"/>
          </w:tcPr>
          <w:p>
            <w:pPr>
              <w:tabs>
                <w:tab w:val="left" w:pos="4320"/>
              </w:tabs>
              <w:rPr>
                <w:rFonts w:hint="eastAsia" w:ascii="宋体" w:hAnsi="宋体" w:eastAsia="宋体" w:cs="宋体"/>
                <w:color w:val="auto"/>
                <w:sz w:val="24"/>
                <w:szCs w:val="24"/>
                <w:highlight w:val="none"/>
              </w:rPr>
            </w:pPr>
          </w:p>
        </w:tc>
        <w:tc>
          <w:tcPr>
            <w:tcW w:w="1273" w:type="dxa"/>
            <w:gridSpan w:val="2"/>
            <w:noWrap w:val="0"/>
            <w:vAlign w:val="center"/>
          </w:tcPr>
          <w:p>
            <w:pPr>
              <w:tabs>
                <w:tab w:val="left" w:pos="4320"/>
              </w:tabs>
              <w:rPr>
                <w:rFonts w:hint="eastAsia" w:ascii="宋体" w:hAnsi="宋体" w:eastAsia="宋体" w:cs="宋体"/>
                <w:color w:val="auto"/>
                <w:sz w:val="24"/>
                <w:szCs w:val="24"/>
                <w:highlight w:val="none"/>
              </w:rPr>
            </w:pPr>
          </w:p>
        </w:tc>
        <w:tc>
          <w:tcPr>
            <w:tcW w:w="1606" w:type="dxa"/>
            <w:gridSpan w:val="2"/>
            <w:tcBorders>
              <w:right w:val="double" w:color="auto" w:sz="4" w:space="0"/>
            </w:tcBorders>
            <w:noWrap w:val="0"/>
            <w:vAlign w:val="center"/>
          </w:tcPr>
          <w:p>
            <w:pPr>
              <w:tabs>
                <w:tab w:val="left" w:pos="4320"/>
              </w:tabs>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noWrap w:val="0"/>
            <w:vAlign w:val="center"/>
          </w:tcPr>
          <w:p>
            <w:pPr>
              <w:tabs>
                <w:tab w:val="left" w:pos="4320"/>
              </w:tabs>
              <w:rPr>
                <w:rFonts w:hint="eastAsia" w:ascii="宋体" w:hAnsi="宋体" w:eastAsia="宋体" w:cs="宋体"/>
                <w:color w:val="auto"/>
                <w:sz w:val="24"/>
                <w:szCs w:val="24"/>
                <w:highlight w:val="none"/>
              </w:rPr>
            </w:pPr>
          </w:p>
        </w:tc>
        <w:tc>
          <w:tcPr>
            <w:tcW w:w="1643" w:type="dxa"/>
            <w:gridSpan w:val="3"/>
            <w:noWrap w:val="0"/>
            <w:vAlign w:val="center"/>
          </w:tcPr>
          <w:p>
            <w:pPr>
              <w:tabs>
                <w:tab w:val="left" w:pos="4320"/>
              </w:tabs>
              <w:rPr>
                <w:rFonts w:hint="eastAsia" w:ascii="宋体" w:hAnsi="宋体" w:eastAsia="宋体" w:cs="宋体"/>
                <w:color w:val="auto"/>
                <w:sz w:val="24"/>
                <w:szCs w:val="24"/>
                <w:highlight w:val="none"/>
              </w:rPr>
            </w:pPr>
          </w:p>
        </w:tc>
        <w:tc>
          <w:tcPr>
            <w:tcW w:w="1617" w:type="dxa"/>
            <w:gridSpan w:val="2"/>
            <w:noWrap w:val="0"/>
            <w:vAlign w:val="center"/>
          </w:tcPr>
          <w:p>
            <w:pPr>
              <w:tabs>
                <w:tab w:val="left" w:pos="4320"/>
              </w:tabs>
              <w:rPr>
                <w:rFonts w:hint="eastAsia" w:ascii="宋体" w:hAnsi="宋体" w:eastAsia="宋体" w:cs="宋体"/>
                <w:color w:val="auto"/>
                <w:sz w:val="24"/>
                <w:szCs w:val="24"/>
                <w:highlight w:val="none"/>
              </w:rPr>
            </w:pPr>
          </w:p>
        </w:tc>
        <w:tc>
          <w:tcPr>
            <w:tcW w:w="946" w:type="dxa"/>
            <w:noWrap w:val="0"/>
            <w:vAlign w:val="center"/>
          </w:tcPr>
          <w:p>
            <w:pPr>
              <w:tabs>
                <w:tab w:val="left" w:pos="4320"/>
              </w:tabs>
              <w:rPr>
                <w:rFonts w:hint="eastAsia" w:ascii="宋体" w:hAnsi="宋体" w:eastAsia="宋体" w:cs="宋体"/>
                <w:color w:val="auto"/>
                <w:sz w:val="24"/>
                <w:szCs w:val="24"/>
                <w:highlight w:val="none"/>
              </w:rPr>
            </w:pPr>
          </w:p>
        </w:tc>
        <w:tc>
          <w:tcPr>
            <w:tcW w:w="1263" w:type="dxa"/>
            <w:noWrap w:val="0"/>
            <w:vAlign w:val="center"/>
          </w:tcPr>
          <w:p>
            <w:pPr>
              <w:tabs>
                <w:tab w:val="left" w:pos="4320"/>
              </w:tabs>
              <w:rPr>
                <w:rFonts w:hint="eastAsia" w:ascii="宋体" w:hAnsi="宋体" w:eastAsia="宋体" w:cs="宋体"/>
                <w:color w:val="auto"/>
                <w:sz w:val="24"/>
                <w:szCs w:val="24"/>
                <w:highlight w:val="none"/>
              </w:rPr>
            </w:pPr>
          </w:p>
        </w:tc>
        <w:tc>
          <w:tcPr>
            <w:tcW w:w="1273" w:type="dxa"/>
            <w:gridSpan w:val="2"/>
            <w:noWrap w:val="0"/>
            <w:vAlign w:val="center"/>
          </w:tcPr>
          <w:p>
            <w:pPr>
              <w:tabs>
                <w:tab w:val="left" w:pos="4320"/>
              </w:tabs>
              <w:rPr>
                <w:rFonts w:hint="eastAsia" w:ascii="宋体" w:hAnsi="宋体" w:eastAsia="宋体" w:cs="宋体"/>
                <w:color w:val="auto"/>
                <w:sz w:val="24"/>
                <w:szCs w:val="24"/>
                <w:highlight w:val="none"/>
              </w:rPr>
            </w:pPr>
          </w:p>
        </w:tc>
        <w:tc>
          <w:tcPr>
            <w:tcW w:w="1606" w:type="dxa"/>
            <w:gridSpan w:val="2"/>
            <w:tcBorders>
              <w:right w:val="double" w:color="auto" w:sz="4" w:space="0"/>
            </w:tcBorders>
            <w:noWrap w:val="0"/>
            <w:vAlign w:val="center"/>
          </w:tcPr>
          <w:p>
            <w:pPr>
              <w:tabs>
                <w:tab w:val="left" w:pos="4320"/>
              </w:tabs>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noWrap w:val="0"/>
            <w:vAlign w:val="center"/>
          </w:tcPr>
          <w:p>
            <w:pPr>
              <w:tabs>
                <w:tab w:val="left" w:pos="4320"/>
              </w:tabs>
              <w:rPr>
                <w:rFonts w:hint="eastAsia" w:ascii="宋体" w:hAnsi="宋体" w:eastAsia="宋体" w:cs="宋体"/>
                <w:color w:val="auto"/>
                <w:sz w:val="24"/>
                <w:szCs w:val="24"/>
                <w:highlight w:val="none"/>
              </w:rPr>
            </w:pPr>
          </w:p>
        </w:tc>
        <w:tc>
          <w:tcPr>
            <w:tcW w:w="1643" w:type="dxa"/>
            <w:gridSpan w:val="3"/>
            <w:noWrap w:val="0"/>
            <w:vAlign w:val="center"/>
          </w:tcPr>
          <w:p>
            <w:pPr>
              <w:tabs>
                <w:tab w:val="left" w:pos="4320"/>
              </w:tabs>
              <w:rPr>
                <w:rFonts w:hint="eastAsia" w:ascii="宋体" w:hAnsi="宋体" w:eastAsia="宋体" w:cs="宋体"/>
                <w:color w:val="auto"/>
                <w:sz w:val="24"/>
                <w:szCs w:val="24"/>
                <w:highlight w:val="none"/>
              </w:rPr>
            </w:pPr>
          </w:p>
        </w:tc>
        <w:tc>
          <w:tcPr>
            <w:tcW w:w="1617" w:type="dxa"/>
            <w:gridSpan w:val="2"/>
            <w:noWrap w:val="0"/>
            <w:vAlign w:val="center"/>
          </w:tcPr>
          <w:p>
            <w:pPr>
              <w:tabs>
                <w:tab w:val="left" w:pos="4320"/>
              </w:tabs>
              <w:rPr>
                <w:rFonts w:hint="eastAsia" w:ascii="宋体" w:hAnsi="宋体" w:eastAsia="宋体" w:cs="宋体"/>
                <w:color w:val="auto"/>
                <w:sz w:val="24"/>
                <w:szCs w:val="24"/>
                <w:highlight w:val="none"/>
              </w:rPr>
            </w:pPr>
          </w:p>
        </w:tc>
        <w:tc>
          <w:tcPr>
            <w:tcW w:w="946" w:type="dxa"/>
            <w:noWrap w:val="0"/>
            <w:vAlign w:val="center"/>
          </w:tcPr>
          <w:p>
            <w:pPr>
              <w:tabs>
                <w:tab w:val="left" w:pos="4320"/>
              </w:tabs>
              <w:rPr>
                <w:rFonts w:hint="eastAsia" w:ascii="宋体" w:hAnsi="宋体" w:eastAsia="宋体" w:cs="宋体"/>
                <w:color w:val="auto"/>
                <w:sz w:val="24"/>
                <w:szCs w:val="24"/>
                <w:highlight w:val="none"/>
              </w:rPr>
            </w:pPr>
          </w:p>
        </w:tc>
        <w:tc>
          <w:tcPr>
            <w:tcW w:w="1263" w:type="dxa"/>
            <w:noWrap w:val="0"/>
            <w:vAlign w:val="center"/>
          </w:tcPr>
          <w:p>
            <w:pPr>
              <w:tabs>
                <w:tab w:val="left" w:pos="4320"/>
              </w:tabs>
              <w:rPr>
                <w:rFonts w:hint="eastAsia" w:ascii="宋体" w:hAnsi="宋体" w:eastAsia="宋体" w:cs="宋体"/>
                <w:color w:val="auto"/>
                <w:sz w:val="24"/>
                <w:szCs w:val="24"/>
                <w:highlight w:val="none"/>
              </w:rPr>
            </w:pPr>
          </w:p>
        </w:tc>
        <w:tc>
          <w:tcPr>
            <w:tcW w:w="1273" w:type="dxa"/>
            <w:gridSpan w:val="2"/>
            <w:noWrap w:val="0"/>
            <w:vAlign w:val="center"/>
          </w:tcPr>
          <w:p>
            <w:pPr>
              <w:tabs>
                <w:tab w:val="left" w:pos="4320"/>
              </w:tabs>
              <w:rPr>
                <w:rFonts w:hint="eastAsia" w:ascii="宋体" w:hAnsi="宋体" w:eastAsia="宋体" w:cs="宋体"/>
                <w:color w:val="auto"/>
                <w:sz w:val="24"/>
                <w:szCs w:val="24"/>
                <w:highlight w:val="none"/>
              </w:rPr>
            </w:pPr>
          </w:p>
        </w:tc>
        <w:tc>
          <w:tcPr>
            <w:tcW w:w="1606" w:type="dxa"/>
            <w:gridSpan w:val="2"/>
            <w:tcBorders>
              <w:right w:val="double" w:color="auto" w:sz="4" w:space="0"/>
            </w:tcBorders>
            <w:noWrap w:val="0"/>
            <w:vAlign w:val="center"/>
          </w:tcPr>
          <w:p>
            <w:pPr>
              <w:tabs>
                <w:tab w:val="left" w:pos="4320"/>
              </w:tabs>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noWrap w:val="0"/>
            <w:vAlign w:val="center"/>
          </w:tcPr>
          <w:p>
            <w:pPr>
              <w:tabs>
                <w:tab w:val="left" w:pos="4320"/>
              </w:tabs>
              <w:rPr>
                <w:rFonts w:hint="eastAsia" w:ascii="宋体" w:hAnsi="宋体" w:eastAsia="宋体" w:cs="宋体"/>
                <w:color w:val="auto"/>
                <w:sz w:val="24"/>
                <w:szCs w:val="24"/>
                <w:highlight w:val="none"/>
              </w:rPr>
            </w:pPr>
          </w:p>
        </w:tc>
        <w:tc>
          <w:tcPr>
            <w:tcW w:w="1643" w:type="dxa"/>
            <w:gridSpan w:val="3"/>
            <w:noWrap w:val="0"/>
            <w:vAlign w:val="center"/>
          </w:tcPr>
          <w:p>
            <w:pPr>
              <w:tabs>
                <w:tab w:val="left" w:pos="4320"/>
              </w:tabs>
              <w:rPr>
                <w:rFonts w:hint="eastAsia" w:ascii="宋体" w:hAnsi="宋体" w:eastAsia="宋体" w:cs="宋体"/>
                <w:color w:val="auto"/>
                <w:sz w:val="24"/>
                <w:szCs w:val="24"/>
                <w:highlight w:val="none"/>
              </w:rPr>
            </w:pPr>
          </w:p>
        </w:tc>
        <w:tc>
          <w:tcPr>
            <w:tcW w:w="1617" w:type="dxa"/>
            <w:gridSpan w:val="2"/>
            <w:noWrap w:val="0"/>
            <w:vAlign w:val="center"/>
          </w:tcPr>
          <w:p>
            <w:pPr>
              <w:tabs>
                <w:tab w:val="left" w:pos="4320"/>
              </w:tabs>
              <w:rPr>
                <w:rFonts w:hint="eastAsia" w:ascii="宋体" w:hAnsi="宋体" w:eastAsia="宋体" w:cs="宋体"/>
                <w:color w:val="auto"/>
                <w:sz w:val="24"/>
                <w:szCs w:val="24"/>
                <w:highlight w:val="none"/>
              </w:rPr>
            </w:pPr>
          </w:p>
        </w:tc>
        <w:tc>
          <w:tcPr>
            <w:tcW w:w="946" w:type="dxa"/>
            <w:noWrap w:val="0"/>
            <w:vAlign w:val="center"/>
          </w:tcPr>
          <w:p>
            <w:pPr>
              <w:tabs>
                <w:tab w:val="left" w:pos="4320"/>
              </w:tabs>
              <w:rPr>
                <w:rFonts w:hint="eastAsia" w:ascii="宋体" w:hAnsi="宋体" w:eastAsia="宋体" w:cs="宋体"/>
                <w:color w:val="auto"/>
                <w:sz w:val="24"/>
                <w:szCs w:val="24"/>
                <w:highlight w:val="none"/>
              </w:rPr>
            </w:pPr>
          </w:p>
        </w:tc>
        <w:tc>
          <w:tcPr>
            <w:tcW w:w="1263" w:type="dxa"/>
            <w:noWrap w:val="0"/>
            <w:vAlign w:val="center"/>
          </w:tcPr>
          <w:p>
            <w:pPr>
              <w:tabs>
                <w:tab w:val="left" w:pos="4320"/>
              </w:tabs>
              <w:rPr>
                <w:rFonts w:hint="eastAsia" w:ascii="宋体" w:hAnsi="宋体" w:eastAsia="宋体" w:cs="宋体"/>
                <w:color w:val="auto"/>
                <w:sz w:val="24"/>
                <w:szCs w:val="24"/>
                <w:highlight w:val="none"/>
              </w:rPr>
            </w:pPr>
          </w:p>
        </w:tc>
        <w:tc>
          <w:tcPr>
            <w:tcW w:w="1273" w:type="dxa"/>
            <w:gridSpan w:val="2"/>
            <w:noWrap w:val="0"/>
            <w:vAlign w:val="center"/>
          </w:tcPr>
          <w:p>
            <w:pPr>
              <w:tabs>
                <w:tab w:val="left" w:pos="4320"/>
              </w:tabs>
              <w:rPr>
                <w:rFonts w:hint="eastAsia" w:ascii="宋体" w:hAnsi="宋体" w:eastAsia="宋体" w:cs="宋体"/>
                <w:color w:val="auto"/>
                <w:sz w:val="24"/>
                <w:szCs w:val="24"/>
                <w:highlight w:val="none"/>
              </w:rPr>
            </w:pPr>
          </w:p>
        </w:tc>
        <w:tc>
          <w:tcPr>
            <w:tcW w:w="1606" w:type="dxa"/>
            <w:gridSpan w:val="2"/>
            <w:tcBorders>
              <w:right w:val="double" w:color="auto" w:sz="4" w:space="0"/>
            </w:tcBorders>
            <w:noWrap w:val="0"/>
            <w:vAlign w:val="center"/>
          </w:tcPr>
          <w:p>
            <w:pPr>
              <w:tabs>
                <w:tab w:val="left" w:pos="4320"/>
              </w:tabs>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left w:val="double" w:color="auto" w:sz="4" w:space="0"/>
            </w:tcBorders>
            <w:noWrap w:val="0"/>
            <w:vAlign w:val="center"/>
          </w:tcPr>
          <w:p>
            <w:pPr>
              <w:tabs>
                <w:tab w:val="left" w:pos="4320"/>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其它</w:t>
            </w:r>
          </w:p>
        </w:tc>
        <w:tc>
          <w:tcPr>
            <w:tcW w:w="4206" w:type="dxa"/>
            <w:gridSpan w:val="6"/>
            <w:noWrap w:val="0"/>
            <w:vAlign w:val="center"/>
          </w:tcPr>
          <w:p>
            <w:pPr>
              <w:tabs>
                <w:tab w:val="left" w:pos="4320"/>
              </w:tabs>
              <w:spacing w:before="60" w:after="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近3年完成及正在执行的合同中发生的由于响应人违约或部分违约而引起诉讼和受到索赔的案件具体情况及结果（须如实填写，若对此进行隐瞒，尔后又被采购人或采购代理机构发现，或被它人举证成立，其响应资格将被取消）。</w:t>
            </w:r>
          </w:p>
        </w:tc>
        <w:tc>
          <w:tcPr>
            <w:tcW w:w="4142" w:type="dxa"/>
            <w:gridSpan w:val="5"/>
            <w:tcBorders>
              <w:right w:val="double" w:color="auto" w:sz="4" w:space="0"/>
            </w:tcBorders>
            <w:noWrap w:val="0"/>
            <w:vAlign w:val="center"/>
          </w:tcPr>
          <w:p>
            <w:pPr>
              <w:tabs>
                <w:tab w:val="left" w:pos="4320"/>
              </w:tabs>
              <w:spacing w:before="60" w:after="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如有名称变更（非因该单位出现了与资格预审（如果经此程序）时的营业性质的根本改变以至不再满足本次磋商的要求），说明原名称因何种原因变更为现名称，并提供由工商管理部门出具的变更证明文件。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7" w:hRule="atLeast"/>
        </w:trPr>
        <w:tc>
          <w:tcPr>
            <w:tcW w:w="817" w:type="dxa"/>
            <w:vMerge w:val="continue"/>
            <w:tcBorders>
              <w:left w:val="double" w:color="auto" w:sz="4" w:space="0"/>
              <w:bottom w:val="double" w:color="auto" w:sz="4" w:space="0"/>
            </w:tcBorders>
            <w:noWrap w:val="0"/>
            <w:vAlign w:val="center"/>
          </w:tcPr>
          <w:p>
            <w:pPr>
              <w:tabs>
                <w:tab w:val="left" w:pos="4320"/>
              </w:tabs>
              <w:rPr>
                <w:rFonts w:hint="eastAsia" w:ascii="宋体" w:hAnsi="宋体" w:eastAsia="宋体" w:cs="宋体"/>
                <w:color w:val="auto"/>
                <w:sz w:val="24"/>
                <w:szCs w:val="24"/>
                <w:highlight w:val="none"/>
              </w:rPr>
            </w:pPr>
          </w:p>
        </w:tc>
        <w:tc>
          <w:tcPr>
            <w:tcW w:w="4206" w:type="dxa"/>
            <w:gridSpan w:val="6"/>
            <w:tcBorders>
              <w:bottom w:val="double" w:color="auto" w:sz="4" w:space="0"/>
            </w:tcBorders>
            <w:noWrap w:val="0"/>
            <w:vAlign w:val="center"/>
          </w:tcPr>
          <w:p>
            <w:pPr>
              <w:tabs>
                <w:tab w:val="left" w:pos="4320"/>
              </w:tabs>
              <w:rPr>
                <w:rFonts w:hint="eastAsia" w:ascii="宋体" w:hAnsi="宋体" w:eastAsia="宋体" w:cs="宋体"/>
                <w:color w:val="auto"/>
                <w:sz w:val="24"/>
                <w:szCs w:val="24"/>
                <w:highlight w:val="none"/>
              </w:rPr>
            </w:pPr>
          </w:p>
        </w:tc>
        <w:tc>
          <w:tcPr>
            <w:tcW w:w="4142" w:type="dxa"/>
            <w:gridSpan w:val="5"/>
            <w:tcBorders>
              <w:bottom w:val="double" w:color="auto" w:sz="4" w:space="0"/>
              <w:right w:val="double" w:color="auto" w:sz="4" w:space="0"/>
            </w:tcBorders>
            <w:noWrap w:val="0"/>
            <w:vAlign w:val="center"/>
          </w:tcPr>
          <w:p>
            <w:pPr>
              <w:tabs>
                <w:tab w:val="left" w:pos="4320"/>
              </w:tabs>
              <w:rPr>
                <w:rFonts w:hint="eastAsia" w:ascii="宋体" w:hAnsi="宋体" w:eastAsia="宋体" w:cs="宋体"/>
                <w:color w:val="auto"/>
                <w:sz w:val="24"/>
                <w:szCs w:val="24"/>
                <w:highlight w:val="none"/>
              </w:rPr>
            </w:pPr>
          </w:p>
        </w:tc>
      </w:tr>
    </w:tbl>
    <w:p>
      <w:pPr>
        <w:pStyle w:val="40"/>
        <w:snapToGrid w:val="0"/>
        <w:spacing w:line="300" w:lineRule="auto"/>
        <w:ind w:firstLine="0" w:firstLineChars="0"/>
        <w:contextualSpacing/>
        <w:rPr>
          <w:rFonts w:hint="eastAsia" w:ascii="宋体" w:hAnsi="宋体" w:eastAsia="宋体" w:cs="宋体"/>
          <w:color w:val="auto"/>
          <w:sz w:val="24"/>
          <w:szCs w:val="24"/>
          <w:highlight w:val="none"/>
        </w:rPr>
      </w:pP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附件2</w:t>
      </w:r>
    </w:p>
    <w:p>
      <w:pPr>
        <w:pStyle w:val="40"/>
        <w:snapToGrid w:val="0"/>
        <w:spacing w:line="300" w:lineRule="auto"/>
        <w:ind w:firstLine="579"/>
        <w:contextualSpacing/>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经营业绩表</w:t>
      </w:r>
      <w:r>
        <w:rPr>
          <w:rFonts w:hint="eastAsia" w:ascii="宋体" w:hAnsi="宋体" w:eastAsia="宋体" w:cs="宋体"/>
          <w:color w:val="auto"/>
          <w:sz w:val="24"/>
          <w:szCs w:val="24"/>
          <w:highlight w:val="none"/>
        </w:rPr>
        <w:t>（重点表述类似货物服务业绩）</w:t>
      </w:r>
    </w:p>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业绩汇总表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772"/>
        <w:gridCol w:w="2663"/>
        <w:gridCol w:w="2665"/>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68" w:type="dxa"/>
            <w:gridSpan w:val="2"/>
            <w:tcBorders>
              <w:top w:val="double" w:color="auto" w:sz="4" w:space="0"/>
              <w:left w:val="double" w:color="auto" w:sz="4" w:space="0"/>
            </w:tcBorders>
            <w:noWrap w:val="0"/>
            <w:vAlign w:val="center"/>
          </w:tcPr>
          <w:p>
            <w:pPr>
              <w:jc w:val="center"/>
              <w:rPr>
                <w:rFonts w:hint="eastAsia" w:ascii="宋体" w:hAnsi="宋体" w:eastAsia="宋体" w:cs="宋体"/>
                <w:color w:val="auto"/>
                <w:sz w:val="24"/>
                <w:szCs w:val="24"/>
                <w:highlight w:val="none"/>
              </w:rPr>
            </w:pPr>
          </w:p>
        </w:tc>
        <w:tc>
          <w:tcPr>
            <w:tcW w:w="2663" w:type="dxa"/>
            <w:tcBorders>
              <w:top w:val="double" w:color="auto" w:sz="4" w:space="0"/>
            </w:tcBorders>
            <w:noWrap w:val="0"/>
            <w:vAlign w:val="center"/>
          </w:tcPr>
          <w:p>
            <w:pPr>
              <w:ind w:right="39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w:t>
            </w:r>
          </w:p>
        </w:tc>
        <w:tc>
          <w:tcPr>
            <w:tcW w:w="2665" w:type="dxa"/>
            <w:tcBorders>
              <w:top w:val="double" w:color="auto" w:sz="4" w:space="0"/>
            </w:tcBorders>
            <w:noWrap w:val="0"/>
            <w:vAlign w:val="center"/>
          </w:tcPr>
          <w:p>
            <w:pPr>
              <w:ind w:right="39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w:t>
            </w:r>
          </w:p>
        </w:tc>
        <w:tc>
          <w:tcPr>
            <w:tcW w:w="2312" w:type="dxa"/>
            <w:tcBorders>
              <w:top w:val="double" w:color="auto" w:sz="4" w:space="0"/>
              <w:right w:val="double" w:color="auto" w:sz="4" w:space="0"/>
            </w:tcBorders>
            <w:noWrap w:val="0"/>
            <w:vAlign w:val="center"/>
          </w:tcPr>
          <w:p>
            <w:pPr>
              <w:ind w:right="39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468" w:type="dxa"/>
            <w:gridSpan w:val="2"/>
            <w:tcBorders>
              <w:left w:val="doub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合同数量</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（宗数）</w:t>
            </w:r>
          </w:p>
        </w:tc>
        <w:tc>
          <w:tcPr>
            <w:tcW w:w="2663" w:type="dxa"/>
            <w:noWrap w:val="0"/>
            <w:vAlign w:val="center"/>
          </w:tcPr>
          <w:p>
            <w:pPr>
              <w:jc w:val="center"/>
              <w:rPr>
                <w:rFonts w:hint="eastAsia" w:ascii="宋体" w:hAnsi="宋体" w:eastAsia="宋体" w:cs="宋体"/>
                <w:color w:val="auto"/>
                <w:sz w:val="24"/>
                <w:szCs w:val="24"/>
                <w:highlight w:val="none"/>
              </w:rPr>
            </w:pPr>
          </w:p>
        </w:tc>
        <w:tc>
          <w:tcPr>
            <w:tcW w:w="2665" w:type="dxa"/>
            <w:noWrap w:val="0"/>
            <w:vAlign w:val="center"/>
          </w:tcPr>
          <w:p>
            <w:pPr>
              <w:jc w:val="center"/>
              <w:rPr>
                <w:rFonts w:hint="eastAsia" w:ascii="宋体" w:hAnsi="宋体" w:eastAsia="宋体" w:cs="宋体"/>
                <w:color w:val="auto"/>
                <w:sz w:val="24"/>
                <w:szCs w:val="24"/>
                <w:highlight w:val="none"/>
              </w:rPr>
            </w:pPr>
          </w:p>
        </w:tc>
        <w:tc>
          <w:tcPr>
            <w:tcW w:w="2312" w:type="dxa"/>
            <w:tcBorders>
              <w:right w:val="double" w:color="auto" w:sz="4" w:space="0"/>
            </w:tcBorders>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696" w:type="dxa"/>
            <w:vMerge w:val="restart"/>
            <w:tcBorders>
              <w:left w:val="double" w:color="auto" w:sz="4" w:space="0"/>
            </w:tcBorders>
            <w:noWrap w:val="0"/>
            <w:vAlign w:val="center"/>
          </w:tcPr>
          <w:p>
            <w:pPr>
              <w:jc w:val="center"/>
              <w:rPr>
                <w:rFonts w:hint="eastAsia" w:ascii="宋体" w:hAnsi="宋体" w:eastAsia="宋体" w:cs="宋体"/>
                <w:color w:val="auto"/>
                <w:spacing w:val="-20"/>
                <w:sz w:val="24"/>
                <w:szCs w:val="24"/>
                <w:highlight w:val="none"/>
              </w:rPr>
            </w:pPr>
            <w:r>
              <w:rPr>
                <w:rFonts w:hint="eastAsia" w:ascii="宋体" w:hAnsi="宋体" w:eastAsia="宋体" w:cs="宋体"/>
                <w:color w:val="auto"/>
                <w:sz w:val="24"/>
                <w:szCs w:val="24"/>
                <w:highlight w:val="none"/>
              </w:rPr>
              <w:t>合同总价</w:t>
            </w:r>
            <w:r>
              <w:rPr>
                <w:rFonts w:hint="eastAsia" w:ascii="宋体" w:hAnsi="宋体" w:eastAsia="宋体" w:cs="宋体"/>
                <w:color w:val="auto"/>
                <w:spacing w:val="-20"/>
                <w:sz w:val="24"/>
                <w:szCs w:val="24"/>
                <w:highlight w:val="none"/>
              </w:rPr>
              <w:t>（人民币）</w:t>
            </w:r>
          </w:p>
        </w:tc>
        <w:tc>
          <w:tcPr>
            <w:tcW w:w="772"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签约</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金额</w:t>
            </w:r>
          </w:p>
        </w:tc>
        <w:tc>
          <w:tcPr>
            <w:tcW w:w="2663" w:type="dxa"/>
            <w:noWrap w:val="0"/>
            <w:vAlign w:val="center"/>
          </w:tcPr>
          <w:p>
            <w:pPr>
              <w:jc w:val="center"/>
              <w:rPr>
                <w:rFonts w:hint="eastAsia" w:ascii="宋体" w:hAnsi="宋体" w:eastAsia="宋体" w:cs="宋体"/>
                <w:color w:val="auto"/>
                <w:sz w:val="24"/>
                <w:szCs w:val="24"/>
                <w:highlight w:val="none"/>
              </w:rPr>
            </w:pPr>
          </w:p>
        </w:tc>
        <w:tc>
          <w:tcPr>
            <w:tcW w:w="2665" w:type="dxa"/>
            <w:noWrap w:val="0"/>
            <w:vAlign w:val="center"/>
          </w:tcPr>
          <w:p>
            <w:pPr>
              <w:jc w:val="center"/>
              <w:rPr>
                <w:rFonts w:hint="eastAsia" w:ascii="宋体" w:hAnsi="宋体" w:eastAsia="宋体" w:cs="宋体"/>
                <w:color w:val="auto"/>
                <w:sz w:val="24"/>
                <w:szCs w:val="24"/>
                <w:highlight w:val="none"/>
              </w:rPr>
            </w:pPr>
          </w:p>
        </w:tc>
        <w:tc>
          <w:tcPr>
            <w:tcW w:w="2312" w:type="dxa"/>
            <w:tcBorders>
              <w:right w:val="double" w:color="auto" w:sz="4" w:space="0"/>
            </w:tcBorders>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696" w:type="dxa"/>
            <w:vMerge w:val="continue"/>
            <w:tcBorders>
              <w:left w:val="double" w:color="auto" w:sz="4" w:space="0"/>
            </w:tcBorders>
            <w:noWrap w:val="0"/>
            <w:vAlign w:val="center"/>
          </w:tcPr>
          <w:p>
            <w:pPr>
              <w:jc w:val="center"/>
              <w:rPr>
                <w:rFonts w:hint="eastAsia" w:ascii="宋体" w:hAnsi="宋体" w:eastAsia="宋体" w:cs="宋体"/>
                <w:color w:val="auto"/>
                <w:sz w:val="24"/>
                <w:szCs w:val="24"/>
                <w:highlight w:val="none"/>
              </w:rPr>
            </w:pPr>
          </w:p>
        </w:tc>
        <w:tc>
          <w:tcPr>
            <w:tcW w:w="772"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结算</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金额</w:t>
            </w:r>
          </w:p>
        </w:tc>
        <w:tc>
          <w:tcPr>
            <w:tcW w:w="2663" w:type="dxa"/>
            <w:noWrap w:val="0"/>
            <w:vAlign w:val="center"/>
          </w:tcPr>
          <w:p>
            <w:pPr>
              <w:jc w:val="center"/>
              <w:rPr>
                <w:rFonts w:hint="eastAsia" w:ascii="宋体" w:hAnsi="宋体" w:eastAsia="宋体" w:cs="宋体"/>
                <w:color w:val="auto"/>
                <w:sz w:val="24"/>
                <w:szCs w:val="24"/>
                <w:highlight w:val="none"/>
              </w:rPr>
            </w:pPr>
          </w:p>
        </w:tc>
        <w:tc>
          <w:tcPr>
            <w:tcW w:w="2665" w:type="dxa"/>
            <w:noWrap w:val="0"/>
            <w:vAlign w:val="center"/>
          </w:tcPr>
          <w:p>
            <w:pPr>
              <w:jc w:val="center"/>
              <w:rPr>
                <w:rFonts w:hint="eastAsia" w:ascii="宋体" w:hAnsi="宋体" w:eastAsia="宋体" w:cs="宋体"/>
                <w:color w:val="auto"/>
                <w:sz w:val="24"/>
                <w:szCs w:val="24"/>
                <w:highlight w:val="none"/>
              </w:rPr>
            </w:pPr>
          </w:p>
        </w:tc>
        <w:tc>
          <w:tcPr>
            <w:tcW w:w="2312" w:type="dxa"/>
            <w:tcBorders>
              <w:right w:val="double" w:color="auto" w:sz="4" w:space="0"/>
            </w:tcBorders>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1468" w:type="dxa"/>
            <w:gridSpan w:val="2"/>
            <w:vMerge w:val="restart"/>
            <w:tcBorders>
              <w:left w:val="doub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主要用户名称及其联系电话</w:t>
            </w:r>
          </w:p>
        </w:tc>
        <w:tc>
          <w:tcPr>
            <w:tcW w:w="2663" w:type="dxa"/>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用户：</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c>
          <w:tcPr>
            <w:tcW w:w="2665" w:type="dxa"/>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用户：</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c>
          <w:tcPr>
            <w:tcW w:w="2312" w:type="dxa"/>
            <w:tcBorders>
              <w:right w:val="double" w:color="auto" w:sz="4" w:space="0"/>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用户：</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1468" w:type="dxa"/>
            <w:gridSpan w:val="2"/>
            <w:vMerge w:val="continue"/>
            <w:tcBorders>
              <w:left w:val="double" w:color="auto" w:sz="4" w:space="0"/>
            </w:tcBorders>
            <w:noWrap w:val="0"/>
            <w:vAlign w:val="center"/>
          </w:tcPr>
          <w:p>
            <w:pPr>
              <w:jc w:val="center"/>
              <w:rPr>
                <w:rFonts w:hint="eastAsia" w:ascii="宋体" w:hAnsi="宋体" w:eastAsia="宋体" w:cs="宋体"/>
                <w:color w:val="auto"/>
                <w:sz w:val="24"/>
                <w:szCs w:val="24"/>
                <w:highlight w:val="none"/>
              </w:rPr>
            </w:pPr>
          </w:p>
        </w:tc>
        <w:tc>
          <w:tcPr>
            <w:tcW w:w="2663" w:type="dxa"/>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用户：</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c>
          <w:tcPr>
            <w:tcW w:w="2665" w:type="dxa"/>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用户：</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c>
          <w:tcPr>
            <w:tcW w:w="2312" w:type="dxa"/>
            <w:tcBorders>
              <w:right w:val="double" w:color="auto" w:sz="4" w:space="0"/>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用户：</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1468" w:type="dxa"/>
            <w:gridSpan w:val="2"/>
            <w:vMerge w:val="continue"/>
            <w:tcBorders>
              <w:left w:val="double" w:color="auto" w:sz="4" w:space="0"/>
              <w:bottom w:val="double" w:color="auto" w:sz="4" w:space="0"/>
            </w:tcBorders>
            <w:noWrap w:val="0"/>
            <w:vAlign w:val="center"/>
          </w:tcPr>
          <w:p>
            <w:pPr>
              <w:jc w:val="center"/>
              <w:rPr>
                <w:rFonts w:hint="eastAsia" w:ascii="宋体" w:hAnsi="宋体" w:eastAsia="宋体" w:cs="宋体"/>
                <w:color w:val="auto"/>
                <w:sz w:val="24"/>
                <w:szCs w:val="24"/>
                <w:highlight w:val="none"/>
              </w:rPr>
            </w:pPr>
          </w:p>
        </w:tc>
        <w:tc>
          <w:tcPr>
            <w:tcW w:w="2663" w:type="dxa"/>
            <w:tcBorders>
              <w:bottom w:val="double" w:color="auto" w:sz="4" w:space="0"/>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用户：</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c>
          <w:tcPr>
            <w:tcW w:w="2665" w:type="dxa"/>
            <w:tcBorders>
              <w:bottom w:val="double" w:color="auto" w:sz="4" w:space="0"/>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用户：</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c>
          <w:tcPr>
            <w:tcW w:w="2312" w:type="dxa"/>
            <w:tcBorders>
              <w:bottom w:val="double" w:color="auto" w:sz="4" w:space="0"/>
              <w:right w:val="double" w:color="auto" w:sz="4" w:space="0"/>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用户：</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r>
    </w:tbl>
    <w:p>
      <w:pPr>
        <w:snapToGrid w:val="0"/>
        <w:spacing w:before="120" w:line="300" w:lineRule="auto"/>
        <w:contextualSpacing/>
        <w:rPr>
          <w:rFonts w:hint="eastAsia" w:ascii="宋体" w:hAnsi="宋体" w:eastAsia="宋体" w:cs="宋体"/>
          <w:b/>
          <w:color w:val="auto"/>
          <w:sz w:val="24"/>
          <w:szCs w:val="24"/>
          <w:highlight w:val="none"/>
        </w:rPr>
      </w:pPr>
      <w:bookmarkStart w:id="9" w:name="_Hlt10548694"/>
    </w:p>
    <w:p>
      <w:pPr>
        <w:snapToGrid w:val="0"/>
        <w:spacing w:before="120" w:line="300" w:lineRule="auto"/>
        <w:contextualSpacing/>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注：1.响应人应尽可能提供表列项目的评定证书或用户使用报告的复印件</w:t>
      </w:r>
      <w:bookmarkEnd w:id="9"/>
      <w:r>
        <w:rPr>
          <w:rFonts w:hint="eastAsia" w:ascii="宋体" w:hAnsi="宋体" w:eastAsia="宋体" w:cs="宋体"/>
          <w:b/>
          <w:color w:val="auto"/>
          <w:sz w:val="24"/>
          <w:szCs w:val="24"/>
          <w:highlight w:val="none"/>
        </w:rPr>
        <w:t>。</w:t>
      </w:r>
    </w:p>
    <w:p>
      <w:pPr>
        <w:snapToGrid w:val="0"/>
        <w:spacing w:before="120" w:line="300" w:lineRule="auto"/>
        <w:contextualSpacing/>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2.以上业绩必须真实，若成交须对以上合同原件进行核对。</w:t>
      </w:r>
    </w:p>
    <w:p>
      <w:pPr>
        <w:snapToGrid w:val="0"/>
        <w:spacing w:line="300" w:lineRule="auto"/>
        <w:ind w:firstLine="482" w:firstLineChars="200"/>
        <w:contextualSpacing/>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3.须提供所投货物服务年度经营业绩证明资料（如中标通知书、合同和验收报告等，列出用户名称、交货及验收时间、联系人、联系电话等。</w:t>
      </w: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附件3</w:t>
      </w:r>
    </w:p>
    <w:p>
      <w:pPr>
        <w:pStyle w:val="40"/>
        <w:snapToGrid w:val="0"/>
        <w:spacing w:line="300" w:lineRule="auto"/>
        <w:ind w:firstLine="0" w:firstLineChars="0"/>
        <w:contextualSpacing/>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商务部分正负偏离表</w:t>
      </w:r>
    </w:p>
    <w:p>
      <w:pPr>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（由响应人据实提交，表格不够自行添加）</w:t>
      </w:r>
    </w:p>
    <w:p>
      <w:pPr>
        <w:ind w:firstLine="480" w:firstLineChars="200"/>
        <w:jc w:val="center"/>
        <w:rPr>
          <w:rFonts w:hint="eastAsia" w:ascii="宋体" w:hAnsi="宋体" w:eastAsia="宋体" w:cs="宋体"/>
          <w:color w:val="auto"/>
          <w:sz w:val="24"/>
          <w:szCs w:val="24"/>
          <w:highlight w:val="none"/>
        </w:rPr>
      </w:pPr>
    </w:p>
    <w:tbl>
      <w:tblPr>
        <w:tblStyle w:val="18"/>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9"/>
        <w:gridCol w:w="1263"/>
        <w:gridCol w:w="2706"/>
        <w:gridCol w:w="2720"/>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49" w:type="dxa"/>
            <w:tcBorders>
              <w:top w:val="single" w:color="auto" w:sz="12" w:space="0"/>
              <w:left w:val="single" w:color="auto" w:sz="12" w:space="0"/>
              <w:bottom w:val="single" w:color="auto" w:sz="6" w:space="0"/>
              <w:right w:val="single" w:color="auto" w:sz="6" w:space="0"/>
            </w:tcBorders>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263" w:type="dxa"/>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货物或服务名称</w:t>
            </w:r>
          </w:p>
        </w:tc>
        <w:tc>
          <w:tcPr>
            <w:tcW w:w="2706" w:type="dxa"/>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磋商文件要求</w:t>
            </w:r>
          </w:p>
        </w:tc>
        <w:tc>
          <w:tcPr>
            <w:tcW w:w="2720" w:type="dxa"/>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响应文件响应情况</w:t>
            </w:r>
          </w:p>
        </w:tc>
        <w:tc>
          <w:tcPr>
            <w:tcW w:w="1417" w:type="dxa"/>
            <w:tcBorders>
              <w:top w:val="single" w:color="auto" w:sz="12" w:space="0"/>
              <w:left w:val="single" w:color="auto" w:sz="6" w:space="0"/>
              <w:bottom w:val="single" w:color="auto" w:sz="6" w:space="0"/>
              <w:right w:val="single" w:color="auto" w:sz="12" w:space="0"/>
            </w:tcBorders>
            <w:noWrap w:val="0"/>
            <w:vAlign w:val="top"/>
          </w:tcPr>
          <w:p>
            <w:pPr>
              <w:spacing w:line="340" w:lineRule="exact"/>
              <w:jc w:val="center"/>
              <w:rPr>
                <w:rFonts w:hint="eastAsia" w:ascii="宋体" w:hAnsi="宋体" w:eastAsia="宋体" w:cs="宋体"/>
                <w:color w:val="auto"/>
                <w:sz w:val="24"/>
                <w:szCs w:val="24"/>
                <w:highlight w:val="none"/>
              </w:rPr>
            </w:pPr>
          </w:p>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649" w:type="dxa"/>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263" w:type="dxa"/>
            <w:tcBorders>
              <w:top w:val="single" w:color="auto" w:sz="6" w:space="0"/>
              <w:left w:val="single" w:color="auto" w:sz="6" w:space="0"/>
              <w:bottom w:val="single" w:color="auto" w:sz="6" w:space="0"/>
              <w:right w:val="single" w:color="auto" w:sz="6" w:space="0"/>
            </w:tcBorders>
            <w:noWrap w:val="0"/>
            <w:vAlign w:val="center"/>
          </w:tcPr>
          <w:p>
            <w:pPr>
              <w:spacing w:line="340" w:lineRule="exact"/>
              <w:jc w:val="center"/>
              <w:rPr>
                <w:rFonts w:hint="eastAsia" w:ascii="宋体" w:hAnsi="宋体" w:eastAsia="宋体" w:cs="宋体"/>
                <w:color w:val="auto"/>
                <w:sz w:val="24"/>
                <w:szCs w:val="24"/>
                <w:highlight w:val="none"/>
              </w:rPr>
            </w:pPr>
          </w:p>
        </w:tc>
        <w:tc>
          <w:tcPr>
            <w:tcW w:w="2706" w:type="dxa"/>
            <w:tcBorders>
              <w:top w:val="single" w:color="auto" w:sz="6" w:space="0"/>
              <w:left w:val="single" w:color="auto" w:sz="6" w:space="0"/>
              <w:bottom w:val="single" w:color="auto" w:sz="6" w:space="0"/>
              <w:right w:val="single" w:color="auto" w:sz="6" w:space="0"/>
            </w:tcBorders>
            <w:noWrap w:val="0"/>
            <w:vAlign w:val="center"/>
          </w:tcPr>
          <w:p>
            <w:pPr>
              <w:spacing w:line="340" w:lineRule="exact"/>
              <w:jc w:val="center"/>
              <w:rPr>
                <w:rFonts w:hint="eastAsia" w:ascii="宋体" w:hAnsi="宋体" w:eastAsia="宋体" w:cs="宋体"/>
                <w:color w:val="auto"/>
                <w:sz w:val="24"/>
                <w:szCs w:val="24"/>
                <w:highlight w:val="none"/>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hint="eastAsia" w:ascii="宋体" w:hAnsi="宋体" w:eastAsia="宋体" w:cs="宋体"/>
                <w:color w:val="auto"/>
                <w:sz w:val="24"/>
                <w:szCs w:val="24"/>
                <w:highlight w:val="none"/>
              </w:rPr>
            </w:pPr>
          </w:p>
        </w:tc>
        <w:tc>
          <w:tcPr>
            <w:tcW w:w="1417" w:type="dxa"/>
            <w:tcBorders>
              <w:top w:val="single" w:color="auto" w:sz="6" w:space="0"/>
              <w:left w:val="single" w:color="auto" w:sz="6" w:space="0"/>
              <w:bottom w:val="single" w:color="auto" w:sz="6" w:space="0"/>
              <w:right w:val="single" w:color="auto" w:sz="12" w:space="0"/>
            </w:tcBorders>
            <w:noWrap w:val="0"/>
            <w:vAlign w:val="top"/>
          </w:tcPr>
          <w:p>
            <w:pPr>
              <w:spacing w:line="3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649" w:type="dxa"/>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263" w:type="dxa"/>
            <w:tcBorders>
              <w:top w:val="single" w:color="auto" w:sz="6" w:space="0"/>
              <w:left w:val="single" w:color="auto" w:sz="6" w:space="0"/>
              <w:bottom w:val="single" w:color="auto" w:sz="6" w:space="0"/>
              <w:right w:val="single" w:color="auto" w:sz="6" w:space="0"/>
            </w:tcBorders>
            <w:noWrap w:val="0"/>
            <w:vAlign w:val="center"/>
          </w:tcPr>
          <w:p>
            <w:pPr>
              <w:spacing w:line="340" w:lineRule="exact"/>
              <w:jc w:val="center"/>
              <w:rPr>
                <w:rFonts w:hint="eastAsia" w:ascii="宋体" w:hAnsi="宋体" w:eastAsia="宋体" w:cs="宋体"/>
                <w:color w:val="auto"/>
                <w:sz w:val="24"/>
                <w:szCs w:val="24"/>
                <w:highlight w:val="none"/>
              </w:rPr>
            </w:pPr>
          </w:p>
        </w:tc>
        <w:tc>
          <w:tcPr>
            <w:tcW w:w="2706" w:type="dxa"/>
            <w:tcBorders>
              <w:top w:val="single" w:color="auto" w:sz="6" w:space="0"/>
              <w:left w:val="single" w:color="auto" w:sz="6" w:space="0"/>
              <w:bottom w:val="single" w:color="auto" w:sz="6" w:space="0"/>
              <w:right w:val="single" w:color="auto" w:sz="6" w:space="0"/>
            </w:tcBorders>
            <w:noWrap w:val="0"/>
            <w:vAlign w:val="center"/>
          </w:tcPr>
          <w:p>
            <w:pPr>
              <w:spacing w:line="340" w:lineRule="exact"/>
              <w:jc w:val="center"/>
              <w:rPr>
                <w:rFonts w:hint="eastAsia" w:ascii="宋体" w:hAnsi="宋体" w:eastAsia="宋体" w:cs="宋体"/>
                <w:color w:val="auto"/>
                <w:sz w:val="24"/>
                <w:szCs w:val="24"/>
                <w:highlight w:val="none"/>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hint="eastAsia" w:ascii="宋体" w:hAnsi="宋体" w:eastAsia="宋体" w:cs="宋体"/>
                <w:color w:val="auto"/>
                <w:sz w:val="24"/>
                <w:szCs w:val="24"/>
                <w:highlight w:val="none"/>
              </w:rPr>
            </w:pPr>
          </w:p>
        </w:tc>
        <w:tc>
          <w:tcPr>
            <w:tcW w:w="1417" w:type="dxa"/>
            <w:tcBorders>
              <w:top w:val="single" w:color="auto" w:sz="6" w:space="0"/>
              <w:left w:val="single" w:color="auto" w:sz="6" w:space="0"/>
              <w:bottom w:val="single" w:color="auto" w:sz="6" w:space="0"/>
              <w:right w:val="single" w:color="auto" w:sz="12" w:space="0"/>
            </w:tcBorders>
            <w:noWrap w:val="0"/>
            <w:vAlign w:val="top"/>
          </w:tcPr>
          <w:p>
            <w:pPr>
              <w:spacing w:line="3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49" w:type="dxa"/>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263"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hint="eastAsia" w:ascii="宋体" w:hAnsi="宋体" w:eastAsia="宋体" w:cs="宋体"/>
                <w:color w:val="auto"/>
                <w:sz w:val="24"/>
                <w:szCs w:val="24"/>
                <w:highlight w:val="none"/>
              </w:rPr>
            </w:pPr>
          </w:p>
        </w:tc>
        <w:tc>
          <w:tcPr>
            <w:tcW w:w="2706" w:type="dxa"/>
            <w:tcBorders>
              <w:top w:val="single" w:color="auto" w:sz="6" w:space="0"/>
              <w:left w:val="single" w:color="auto" w:sz="6" w:space="0"/>
              <w:bottom w:val="single" w:color="auto" w:sz="6" w:space="0"/>
              <w:right w:val="single" w:color="auto" w:sz="6" w:space="0"/>
            </w:tcBorders>
            <w:noWrap w:val="0"/>
            <w:vAlign w:val="center"/>
          </w:tcPr>
          <w:p>
            <w:pPr>
              <w:spacing w:line="340" w:lineRule="exact"/>
              <w:ind w:firstLine="480" w:firstLineChars="200"/>
              <w:rPr>
                <w:rFonts w:hint="eastAsia" w:ascii="宋体" w:hAnsi="宋体" w:eastAsia="宋体" w:cs="宋体"/>
                <w:color w:val="auto"/>
                <w:sz w:val="24"/>
                <w:szCs w:val="24"/>
                <w:highlight w:val="none"/>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hint="eastAsia" w:ascii="宋体" w:hAnsi="宋体" w:eastAsia="宋体" w:cs="宋体"/>
                <w:color w:val="auto"/>
                <w:sz w:val="24"/>
                <w:szCs w:val="24"/>
                <w:highlight w:val="none"/>
              </w:rPr>
            </w:pPr>
          </w:p>
        </w:tc>
        <w:tc>
          <w:tcPr>
            <w:tcW w:w="1417" w:type="dxa"/>
            <w:tcBorders>
              <w:top w:val="single" w:color="auto" w:sz="6" w:space="0"/>
              <w:left w:val="single" w:color="auto" w:sz="6" w:space="0"/>
              <w:bottom w:val="single" w:color="auto" w:sz="6" w:space="0"/>
              <w:right w:val="single" w:color="auto" w:sz="12" w:space="0"/>
            </w:tcBorders>
            <w:noWrap w:val="0"/>
            <w:vAlign w:val="top"/>
          </w:tcPr>
          <w:p>
            <w:pPr>
              <w:spacing w:line="3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649" w:type="dxa"/>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hint="eastAsia" w:ascii="宋体" w:hAnsi="宋体" w:eastAsia="宋体" w:cs="宋体"/>
                <w:color w:val="auto"/>
                <w:sz w:val="24"/>
                <w:szCs w:val="24"/>
                <w:highlight w:val="none"/>
              </w:rPr>
            </w:pPr>
          </w:p>
        </w:tc>
        <w:tc>
          <w:tcPr>
            <w:tcW w:w="1263" w:type="dxa"/>
            <w:tcBorders>
              <w:top w:val="single" w:color="auto" w:sz="6" w:space="0"/>
              <w:left w:val="single" w:color="auto" w:sz="6" w:space="0"/>
              <w:bottom w:val="single" w:color="auto" w:sz="6" w:space="0"/>
              <w:right w:val="single" w:color="auto" w:sz="6" w:space="0"/>
            </w:tcBorders>
            <w:noWrap w:val="0"/>
            <w:vAlign w:val="center"/>
          </w:tcPr>
          <w:p>
            <w:pPr>
              <w:spacing w:line="340" w:lineRule="exact"/>
              <w:jc w:val="center"/>
              <w:rPr>
                <w:rFonts w:hint="eastAsia" w:ascii="宋体" w:hAnsi="宋体" w:eastAsia="宋体" w:cs="宋体"/>
                <w:color w:val="auto"/>
                <w:sz w:val="24"/>
                <w:szCs w:val="24"/>
                <w:highlight w:val="none"/>
              </w:rPr>
            </w:pPr>
          </w:p>
        </w:tc>
        <w:tc>
          <w:tcPr>
            <w:tcW w:w="2706"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hint="eastAsia" w:ascii="宋体" w:hAnsi="宋体" w:eastAsia="宋体" w:cs="宋体"/>
                <w:color w:val="auto"/>
                <w:sz w:val="24"/>
                <w:szCs w:val="24"/>
                <w:highlight w:val="none"/>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hint="eastAsia" w:ascii="宋体" w:hAnsi="宋体" w:eastAsia="宋体" w:cs="宋体"/>
                <w:color w:val="auto"/>
                <w:sz w:val="24"/>
                <w:szCs w:val="24"/>
                <w:highlight w:val="none"/>
              </w:rPr>
            </w:pPr>
          </w:p>
        </w:tc>
        <w:tc>
          <w:tcPr>
            <w:tcW w:w="1417" w:type="dxa"/>
            <w:tcBorders>
              <w:top w:val="single" w:color="auto" w:sz="6" w:space="0"/>
              <w:left w:val="single" w:color="auto" w:sz="6" w:space="0"/>
              <w:bottom w:val="single" w:color="auto" w:sz="6" w:space="0"/>
              <w:right w:val="single" w:color="auto" w:sz="12" w:space="0"/>
            </w:tcBorders>
            <w:noWrap w:val="0"/>
            <w:vAlign w:val="top"/>
          </w:tcPr>
          <w:p>
            <w:pPr>
              <w:spacing w:line="340" w:lineRule="exact"/>
              <w:rPr>
                <w:rFonts w:hint="eastAsia" w:ascii="宋体" w:hAnsi="宋体" w:eastAsia="宋体" w:cs="宋体"/>
                <w:color w:val="auto"/>
                <w:sz w:val="24"/>
                <w:szCs w:val="24"/>
                <w:highlight w:val="none"/>
              </w:rPr>
            </w:pPr>
          </w:p>
        </w:tc>
      </w:tr>
    </w:tbl>
    <w:p>
      <w:pPr>
        <w:pStyle w:val="9"/>
        <w:snapToGrid w:val="0"/>
        <w:spacing w:line="300" w:lineRule="auto"/>
        <w:contextualSpacing/>
        <w:rPr>
          <w:rFonts w:hint="eastAsia" w:ascii="宋体" w:hAnsi="宋体" w:eastAsia="宋体" w:cs="宋体"/>
          <w:b/>
          <w:color w:val="auto"/>
          <w:sz w:val="24"/>
          <w:szCs w:val="24"/>
          <w:highlight w:val="none"/>
        </w:rPr>
      </w:pPr>
    </w:p>
    <w:p>
      <w:pPr>
        <w:pStyle w:val="9"/>
        <w:snapToGrid w:val="0"/>
        <w:spacing w:line="300" w:lineRule="auto"/>
        <w:contextualSpacing/>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w:t>
      </w:r>
    </w:p>
    <w:p>
      <w:pPr>
        <w:pStyle w:val="9"/>
        <w:snapToGrid w:val="0"/>
        <w:spacing w:line="30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1.响应人提交的响应文件中与磋商文件第三部分“采购需求说明”中的商务、技术部分的要求有不同时，应逐条填列在偏离表中，否则将认为响应人接受磋商文件的所有要求。完全响应部分不填到。</w:t>
      </w:r>
    </w:p>
    <w:p>
      <w:pPr>
        <w:pStyle w:val="9"/>
        <w:snapToGrid w:val="0"/>
        <w:spacing w:line="30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2.“偏离说明”一栏选择“正偏离”、“负偏离”进行填写。正偏离的确认和负偏离的是否相应磋商文件，经三分之二评委认定。</w:t>
      </w:r>
    </w:p>
    <w:p>
      <w:pPr>
        <w:snapToGrid w:val="0"/>
        <w:spacing w:line="30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3.响应人如果虚假响应，将承担被没收全额/部分响应保证金或被暂停参加南通市政府采购中心组织政府采购活动的风险。</w:t>
      </w:r>
    </w:p>
    <w:p>
      <w:pPr>
        <w:snapToGrid w:val="0"/>
        <w:spacing w:line="300" w:lineRule="auto"/>
        <w:ind w:firstLine="480" w:firstLineChars="200"/>
        <w:contextualSpacing/>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4.供应商若提供其他增值服务，可以在表中自行据实填写。</w:t>
      </w: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附件4</w:t>
      </w:r>
    </w:p>
    <w:p>
      <w:pPr>
        <w:pStyle w:val="40"/>
        <w:snapToGrid w:val="0"/>
        <w:spacing w:line="300" w:lineRule="auto"/>
        <w:ind w:firstLine="0" w:firstLineChars="0"/>
        <w:contextualSpacing/>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技术部分正负偏离表</w:t>
      </w:r>
    </w:p>
    <w:p>
      <w:pPr>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（由响应人据实提交，表格不够自行添加）</w:t>
      </w:r>
    </w:p>
    <w:p>
      <w:pPr>
        <w:spacing w:line="320" w:lineRule="exact"/>
        <w:rPr>
          <w:rFonts w:hint="eastAsia" w:ascii="宋体" w:hAnsi="宋体" w:eastAsia="宋体" w:cs="宋体"/>
          <w:color w:val="auto"/>
          <w:sz w:val="24"/>
          <w:szCs w:val="24"/>
          <w:highlight w:val="none"/>
          <w:u w:val="single"/>
        </w:rPr>
      </w:pPr>
    </w:p>
    <w:tbl>
      <w:tblPr>
        <w:tblStyle w:val="18"/>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9"/>
        <w:gridCol w:w="1263"/>
        <w:gridCol w:w="2706"/>
        <w:gridCol w:w="2720"/>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49" w:type="dxa"/>
            <w:tcBorders>
              <w:top w:val="single" w:color="auto" w:sz="12" w:space="0"/>
              <w:left w:val="single" w:color="auto" w:sz="12" w:space="0"/>
              <w:bottom w:val="single" w:color="auto" w:sz="6" w:space="0"/>
              <w:right w:val="single" w:color="auto" w:sz="6" w:space="0"/>
            </w:tcBorders>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263" w:type="dxa"/>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货物或服务名称</w:t>
            </w:r>
          </w:p>
        </w:tc>
        <w:tc>
          <w:tcPr>
            <w:tcW w:w="2706" w:type="dxa"/>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磋商文件要求</w:t>
            </w:r>
          </w:p>
        </w:tc>
        <w:tc>
          <w:tcPr>
            <w:tcW w:w="2720" w:type="dxa"/>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响应文件响应情况</w:t>
            </w:r>
          </w:p>
        </w:tc>
        <w:tc>
          <w:tcPr>
            <w:tcW w:w="1417" w:type="dxa"/>
            <w:tcBorders>
              <w:top w:val="single" w:color="auto" w:sz="12" w:space="0"/>
              <w:left w:val="single" w:color="auto" w:sz="6" w:space="0"/>
              <w:bottom w:val="single" w:color="auto" w:sz="6" w:space="0"/>
              <w:right w:val="single" w:color="auto" w:sz="12" w:space="0"/>
            </w:tcBorders>
            <w:noWrap w:val="0"/>
            <w:vAlign w:val="top"/>
          </w:tcPr>
          <w:p>
            <w:pPr>
              <w:spacing w:line="340" w:lineRule="exact"/>
              <w:jc w:val="center"/>
              <w:rPr>
                <w:rFonts w:hint="eastAsia" w:ascii="宋体" w:hAnsi="宋体" w:eastAsia="宋体" w:cs="宋体"/>
                <w:color w:val="auto"/>
                <w:sz w:val="24"/>
                <w:szCs w:val="24"/>
                <w:highlight w:val="none"/>
              </w:rPr>
            </w:pPr>
          </w:p>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trPr>
        <w:tc>
          <w:tcPr>
            <w:tcW w:w="649" w:type="dxa"/>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263"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hint="eastAsia" w:ascii="宋体" w:hAnsi="宋体" w:eastAsia="宋体" w:cs="宋体"/>
                <w:color w:val="auto"/>
                <w:sz w:val="24"/>
                <w:szCs w:val="24"/>
                <w:highlight w:val="none"/>
              </w:rPr>
            </w:pPr>
          </w:p>
        </w:tc>
        <w:tc>
          <w:tcPr>
            <w:tcW w:w="2706" w:type="dxa"/>
            <w:tcBorders>
              <w:top w:val="single" w:color="auto" w:sz="6" w:space="0"/>
              <w:left w:val="single" w:color="auto" w:sz="6" w:space="0"/>
              <w:bottom w:val="single" w:color="auto" w:sz="6" w:space="0"/>
              <w:right w:val="single" w:color="auto" w:sz="6" w:space="0"/>
            </w:tcBorders>
            <w:noWrap w:val="0"/>
            <w:vAlign w:val="center"/>
          </w:tcPr>
          <w:p>
            <w:pPr>
              <w:spacing w:line="340" w:lineRule="exact"/>
              <w:jc w:val="center"/>
              <w:rPr>
                <w:rFonts w:hint="eastAsia" w:ascii="宋体" w:hAnsi="宋体" w:eastAsia="宋体" w:cs="宋体"/>
                <w:color w:val="auto"/>
                <w:sz w:val="24"/>
                <w:szCs w:val="24"/>
                <w:highlight w:val="none"/>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hint="eastAsia" w:ascii="宋体" w:hAnsi="宋体" w:eastAsia="宋体" w:cs="宋体"/>
                <w:color w:val="auto"/>
                <w:sz w:val="24"/>
                <w:szCs w:val="24"/>
                <w:highlight w:val="none"/>
              </w:rPr>
            </w:pPr>
          </w:p>
        </w:tc>
        <w:tc>
          <w:tcPr>
            <w:tcW w:w="1417" w:type="dxa"/>
            <w:tcBorders>
              <w:top w:val="single" w:color="auto" w:sz="6" w:space="0"/>
              <w:left w:val="single" w:color="auto" w:sz="6" w:space="0"/>
              <w:bottom w:val="single" w:color="auto" w:sz="6" w:space="0"/>
              <w:right w:val="single" w:color="auto" w:sz="12" w:space="0"/>
            </w:tcBorders>
            <w:noWrap w:val="0"/>
            <w:vAlign w:val="top"/>
          </w:tcPr>
          <w:p>
            <w:pPr>
              <w:spacing w:line="3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649" w:type="dxa"/>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263" w:type="dxa"/>
            <w:tcBorders>
              <w:top w:val="single" w:color="auto" w:sz="6" w:space="0"/>
              <w:left w:val="single" w:color="auto" w:sz="6" w:space="0"/>
              <w:bottom w:val="single" w:color="auto" w:sz="6" w:space="0"/>
              <w:right w:val="single" w:color="auto" w:sz="6" w:space="0"/>
            </w:tcBorders>
            <w:noWrap w:val="0"/>
            <w:vAlign w:val="center"/>
          </w:tcPr>
          <w:p>
            <w:pPr>
              <w:spacing w:line="340" w:lineRule="exact"/>
              <w:jc w:val="center"/>
              <w:rPr>
                <w:rFonts w:hint="eastAsia" w:ascii="宋体" w:hAnsi="宋体" w:eastAsia="宋体" w:cs="宋体"/>
                <w:color w:val="auto"/>
                <w:sz w:val="24"/>
                <w:szCs w:val="24"/>
                <w:highlight w:val="none"/>
              </w:rPr>
            </w:pPr>
          </w:p>
        </w:tc>
        <w:tc>
          <w:tcPr>
            <w:tcW w:w="2706" w:type="dxa"/>
            <w:tcBorders>
              <w:top w:val="single" w:color="auto" w:sz="6" w:space="0"/>
              <w:left w:val="single" w:color="auto" w:sz="6" w:space="0"/>
              <w:bottom w:val="single" w:color="auto" w:sz="6" w:space="0"/>
              <w:right w:val="single" w:color="auto" w:sz="6" w:space="0"/>
            </w:tcBorders>
            <w:noWrap w:val="0"/>
            <w:vAlign w:val="center"/>
          </w:tcPr>
          <w:p>
            <w:pPr>
              <w:spacing w:line="340" w:lineRule="exact"/>
              <w:jc w:val="center"/>
              <w:rPr>
                <w:rFonts w:hint="eastAsia" w:ascii="宋体" w:hAnsi="宋体" w:eastAsia="宋体" w:cs="宋体"/>
                <w:color w:val="auto"/>
                <w:sz w:val="24"/>
                <w:szCs w:val="24"/>
                <w:highlight w:val="none"/>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hint="eastAsia" w:ascii="宋体" w:hAnsi="宋体" w:eastAsia="宋体" w:cs="宋体"/>
                <w:color w:val="auto"/>
                <w:sz w:val="24"/>
                <w:szCs w:val="24"/>
                <w:highlight w:val="none"/>
              </w:rPr>
            </w:pPr>
          </w:p>
        </w:tc>
        <w:tc>
          <w:tcPr>
            <w:tcW w:w="1417" w:type="dxa"/>
            <w:tcBorders>
              <w:top w:val="single" w:color="auto" w:sz="6" w:space="0"/>
              <w:left w:val="single" w:color="auto" w:sz="6" w:space="0"/>
              <w:bottom w:val="single" w:color="auto" w:sz="6" w:space="0"/>
              <w:right w:val="single" w:color="auto" w:sz="12" w:space="0"/>
            </w:tcBorders>
            <w:noWrap w:val="0"/>
            <w:vAlign w:val="top"/>
          </w:tcPr>
          <w:p>
            <w:pPr>
              <w:spacing w:line="3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649" w:type="dxa"/>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263"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hint="eastAsia" w:ascii="宋体" w:hAnsi="宋体" w:eastAsia="宋体" w:cs="宋体"/>
                <w:color w:val="auto"/>
                <w:sz w:val="24"/>
                <w:szCs w:val="24"/>
                <w:highlight w:val="none"/>
              </w:rPr>
            </w:pPr>
          </w:p>
        </w:tc>
        <w:tc>
          <w:tcPr>
            <w:tcW w:w="2706" w:type="dxa"/>
            <w:tcBorders>
              <w:top w:val="single" w:color="auto" w:sz="6" w:space="0"/>
              <w:left w:val="single" w:color="auto" w:sz="6" w:space="0"/>
              <w:bottom w:val="single" w:color="auto" w:sz="6" w:space="0"/>
              <w:right w:val="single" w:color="auto" w:sz="6" w:space="0"/>
            </w:tcBorders>
            <w:noWrap w:val="0"/>
            <w:vAlign w:val="center"/>
          </w:tcPr>
          <w:p>
            <w:pPr>
              <w:spacing w:line="340" w:lineRule="exact"/>
              <w:ind w:firstLine="480" w:firstLineChars="200"/>
              <w:rPr>
                <w:rFonts w:hint="eastAsia" w:ascii="宋体" w:hAnsi="宋体" w:eastAsia="宋体" w:cs="宋体"/>
                <w:color w:val="auto"/>
                <w:sz w:val="24"/>
                <w:szCs w:val="24"/>
                <w:highlight w:val="none"/>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hint="eastAsia" w:ascii="宋体" w:hAnsi="宋体" w:eastAsia="宋体" w:cs="宋体"/>
                <w:color w:val="auto"/>
                <w:sz w:val="24"/>
                <w:szCs w:val="24"/>
                <w:highlight w:val="none"/>
              </w:rPr>
            </w:pPr>
          </w:p>
        </w:tc>
        <w:tc>
          <w:tcPr>
            <w:tcW w:w="1417" w:type="dxa"/>
            <w:tcBorders>
              <w:top w:val="single" w:color="auto" w:sz="6" w:space="0"/>
              <w:left w:val="single" w:color="auto" w:sz="6" w:space="0"/>
              <w:bottom w:val="single" w:color="auto" w:sz="6" w:space="0"/>
              <w:right w:val="single" w:color="auto" w:sz="12" w:space="0"/>
            </w:tcBorders>
            <w:noWrap w:val="0"/>
            <w:vAlign w:val="top"/>
          </w:tcPr>
          <w:p>
            <w:pPr>
              <w:spacing w:line="3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649" w:type="dxa"/>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hint="eastAsia" w:ascii="宋体" w:hAnsi="宋体" w:eastAsia="宋体" w:cs="宋体"/>
                <w:color w:val="auto"/>
                <w:sz w:val="24"/>
                <w:szCs w:val="24"/>
                <w:highlight w:val="none"/>
              </w:rPr>
            </w:pPr>
          </w:p>
        </w:tc>
        <w:tc>
          <w:tcPr>
            <w:tcW w:w="1263" w:type="dxa"/>
            <w:tcBorders>
              <w:top w:val="single" w:color="auto" w:sz="6" w:space="0"/>
              <w:left w:val="single" w:color="auto" w:sz="6" w:space="0"/>
              <w:bottom w:val="single" w:color="auto" w:sz="6" w:space="0"/>
              <w:right w:val="single" w:color="auto" w:sz="6" w:space="0"/>
            </w:tcBorders>
            <w:noWrap w:val="0"/>
            <w:vAlign w:val="center"/>
          </w:tcPr>
          <w:p>
            <w:pPr>
              <w:spacing w:line="340" w:lineRule="exact"/>
              <w:jc w:val="center"/>
              <w:rPr>
                <w:rFonts w:hint="eastAsia" w:ascii="宋体" w:hAnsi="宋体" w:eastAsia="宋体" w:cs="宋体"/>
                <w:color w:val="auto"/>
                <w:sz w:val="24"/>
                <w:szCs w:val="24"/>
                <w:highlight w:val="none"/>
              </w:rPr>
            </w:pPr>
          </w:p>
        </w:tc>
        <w:tc>
          <w:tcPr>
            <w:tcW w:w="2706"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hint="eastAsia" w:ascii="宋体" w:hAnsi="宋体" w:eastAsia="宋体" w:cs="宋体"/>
                <w:color w:val="auto"/>
                <w:sz w:val="24"/>
                <w:szCs w:val="24"/>
                <w:highlight w:val="none"/>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hint="eastAsia" w:ascii="宋体" w:hAnsi="宋体" w:eastAsia="宋体" w:cs="宋体"/>
                <w:color w:val="auto"/>
                <w:sz w:val="24"/>
                <w:szCs w:val="24"/>
                <w:highlight w:val="none"/>
              </w:rPr>
            </w:pPr>
          </w:p>
        </w:tc>
        <w:tc>
          <w:tcPr>
            <w:tcW w:w="1417" w:type="dxa"/>
            <w:tcBorders>
              <w:top w:val="single" w:color="auto" w:sz="6" w:space="0"/>
              <w:left w:val="single" w:color="auto" w:sz="6" w:space="0"/>
              <w:bottom w:val="single" w:color="auto" w:sz="6" w:space="0"/>
              <w:right w:val="single" w:color="auto" w:sz="12" w:space="0"/>
            </w:tcBorders>
            <w:noWrap w:val="0"/>
            <w:vAlign w:val="top"/>
          </w:tcPr>
          <w:p>
            <w:pPr>
              <w:spacing w:line="340" w:lineRule="exact"/>
              <w:rPr>
                <w:rFonts w:hint="eastAsia" w:ascii="宋体" w:hAnsi="宋体" w:eastAsia="宋体" w:cs="宋体"/>
                <w:color w:val="auto"/>
                <w:sz w:val="24"/>
                <w:szCs w:val="24"/>
                <w:highlight w:val="none"/>
              </w:rPr>
            </w:pPr>
          </w:p>
        </w:tc>
      </w:tr>
    </w:tbl>
    <w:p>
      <w:pPr>
        <w:spacing w:line="260" w:lineRule="exact"/>
        <w:rPr>
          <w:rFonts w:hint="eastAsia" w:ascii="宋体" w:hAnsi="宋体" w:eastAsia="宋体" w:cs="宋体"/>
          <w:color w:val="auto"/>
          <w:sz w:val="24"/>
          <w:szCs w:val="24"/>
          <w:highlight w:val="none"/>
          <w:u w:val="single"/>
        </w:rPr>
      </w:pPr>
    </w:p>
    <w:p>
      <w:pPr>
        <w:pStyle w:val="9"/>
        <w:rPr>
          <w:rFonts w:hint="eastAsia" w:ascii="宋体" w:hAnsi="宋体" w:eastAsia="宋体" w:cs="宋体"/>
          <w:b/>
          <w:color w:val="auto"/>
          <w:sz w:val="24"/>
          <w:szCs w:val="24"/>
          <w:highlight w:val="none"/>
        </w:rPr>
      </w:pPr>
    </w:p>
    <w:p>
      <w:pPr>
        <w:pStyle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w:t>
      </w:r>
    </w:p>
    <w:p>
      <w:pPr>
        <w:pStyle w:val="9"/>
        <w:snapToGrid w:val="0"/>
        <w:spacing w:line="30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1.响应人提交的响应文件中与磋商文件第三部分“项目需求说明”中的商务、技术部分的要求有不同时，应逐条填列在偏离表中，否则将认为响应人接受磋商文件的所有要求。完全响应部分不填到。</w:t>
      </w:r>
    </w:p>
    <w:p>
      <w:pPr>
        <w:pStyle w:val="9"/>
        <w:snapToGrid w:val="0"/>
        <w:spacing w:line="30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2.“偏离说明”一栏选择“正偏离”、“负偏离”进行填写。正偏离的确认和负偏离的是否相应磋商文件，经三分之二评委认定。</w:t>
      </w:r>
    </w:p>
    <w:p>
      <w:pPr>
        <w:snapToGrid w:val="0"/>
        <w:spacing w:line="30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3.响应人如果虚假响应，将承担被没收全额/部分响应保证金或被暂停参加南通市政府采购中心组织政府采购活动的风险。</w:t>
      </w:r>
    </w:p>
    <w:p>
      <w:pPr>
        <w:snapToGrid w:val="0"/>
        <w:spacing w:line="300" w:lineRule="auto"/>
        <w:ind w:firstLine="480" w:firstLineChars="200"/>
        <w:contextualSpacing/>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4.供应商若提供其他增值服务，可以在表中自行据实填写。</w:t>
      </w:r>
    </w:p>
    <w:p>
      <w:pPr>
        <w:snapToGrid w:val="0"/>
        <w:spacing w:line="300" w:lineRule="auto"/>
        <w:rPr>
          <w:rFonts w:hint="eastAsia" w:ascii="宋体" w:hAnsi="宋体" w:eastAsia="宋体" w:cs="宋体"/>
          <w:color w:val="auto"/>
          <w:sz w:val="24"/>
          <w:szCs w:val="24"/>
          <w:highlight w:val="none"/>
        </w:rPr>
      </w:pPr>
    </w:p>
    <w:p>
      <w:pPr>
        <w:snapToGrid w:val="0"/>
        <w:spacing w:line="30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附件5</w:t>
      </w:r>
    </w:p>
    <w:p>
      <w:pPr>
        <w:pStyle w:val="40"/>
        <w:snapToGrid w:val="0"/>
        <w:spacing w:line="300" w:lineRule="auto"/>
        <w:ind w:firstLine="0" w:firstLineChars="0"/>
        <w:contextualSpacing/>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货物</w:t>
      </w:r>
      <w:r>
        <w:rPr>
          <w:rFonts w:hint="eastAsia" w:ascii="宋体" w:hAnsi="宋体" w:eastAsia="宋体" w:cs="宋体"/>
          <w:b/>
          <w:color w:val="auto"/>
          <w:sz w:val="24"/>
          <w:szCs w:val="24"/>
          <w:highlight w:val="none"/>
          <w:lang w:eastAsia="zh-CN"/>
        </w:rPr>
        <w:t>（服务）</w:t>
      </w:r>
      <w:r>
        <w:rPr>
          <w:rFonts w:hint="eastAsia" w:ascii="宋体" w:hAnsi="宋体" w:eastAsia="宋体" w:cs="宋体"/>
          <w:b/>
          <w:color w:val="auto"/>
          <w:sz w:val="24"/>
          <w:szCs w:val="24"/>
          <w:highlight w:val="none"/>
        </w:rPr>
        <w:t>一揽表清单</w:t>
      </w:r>
    </w:p>
    <w:p>
      <w:pPr>
        <w:pStyle w:val="40"/>
        <w:snapToGrid w:val="0"/>
        <w:spacing w:line="300" w:lineRule="auto"/>
        <w:ind w:firstLine="0" w:firstLineChars="0"/>
        <w:contextualSpacing/>
        <w:jc w:val="center"/>
        <w:rPr>
          <w:rFonts w:hint="eastAsia" w:ascii="宋体" w:hAnsi="宋体" w:eastAsia="宋体" w:cs="宋体"/>
          <w:b/>
          <w:color w:val="auto"/>
          <w:sz w:val="24"/>
          <w:szCs w:val="24"/>
          <w:highlight w:val="none"/>
        </w:rPr>
      </w:pPr>
    </w:p>
    <w:tbl>
      <w:tblPr>
        <w:tblStyle w:val="18"/>
        <w:tblW w:w="83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181"/>
        <w:gridCol w:w="1191"/>
        <w:gridCol w:w="1776"/>
        <w:gridCol w:w="709"/>
        <w:gridCol w:w="1842"/>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672" w:type="dxa"/>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181" w:type="dxa"/>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货物（服务）名称</w:t>
            </w:r>
          </w:p>
        </w:tc>
        <w:tc>
          <w:tcPr>
            <w:tcW w:w="1191" w:type="dxa"/>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品牌、规格</w:t>
            </w:r>
          </w:p>
        </w:tc>
        <w:tc>
          <w:tcPr>
            <w:tcW w:w="1776" w:type="dxa"/>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生产商及原产地</w:t>
            </w:r>
          </w:p>
        </w:tc>
        <w:tc>
          <w:tcPr>
            <w:tcW w:w="709" w:type="dxa"/>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c>
          <w:tcPr>
            <w:tcW w:w="1842" w:type="dxa"/>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详细技术参数</w:t>
            </w:r>
          </w:p>
        </w:tc>
        <w:tc>
          <w:tcPr>
            <w:tcW w:w="1028" w:type="dxa"/>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672" w:type="dxa"/>
            <w:noWrap w:val="0"/>
            <w:vAlign w:val="center"/>
          </w:tcPr>
          <w:p>
            <w:pPr>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181" w:type="dxa"/>
            <w:noWrap w:val="0"/>
            <w:vAlign w:val="top"/>
          </w:tcPr>
          <w:p>
            <w:pPr>
              <w:spacing w:line="360" w:lineRule="auto"/>
              <w:rPr>
                <w:rFonts w:hint="eastAsia" w:ascii="宋体" w:hAnsi="宋体" w:eastAsia="宋体" w:cs="宋体"/>
                <w:color w:val="auto"/>
                <w:sz w:val="24"/>
                <w:szCs w:val="24"/>
                <w:highlight w:val="none"/>
              </w:rPr>
            </w:pPr>
          </w:p>
        </w:tc>
        <w:tc>
          <w:tcPr>
            <w:tcW w:w="1191" w:type="dxa"/>
            <w:noWrap w:val="0"/>
            <w:vAlign w:val="top"/>
          </w:tcPr>
          <w:p>
            <w:pPr>
              <w:spacing w:line="360" w:lineRule="auto"/>
              <w:rPr>
                <w:rFonts w:hint="eastAsia" w:ascii="宋体" w:hAnsi="宋体" w:eastAsia="宋体" w:cs="宋体"/>
                <w:color w:val="auto"/>
                <w:sz w:val="24"/>
                <w:szCs w:val="24"/>
                <w:highlight w:val="none"/>
              </w:rPr>
            </w:pPr>
          </w:p>
        </w:tc>
        <w:tc>
          <w:tcPr>
            <w:tcW w:w="1776" w:type="dxa"/>
            <w:noWrap w:val="0"/>
            <w:vAlign w:val="top"/>
          </w:tcPr>
          <w:p>
            <w:pPr>
              <w:spacing w:line="360" w:lineRule="auto"/>
              <w:rPr>
                <w:rFonts w:hint="eastAsia" w:ascii="宋体" w:hAnsi="宋体" w:eastAsia="宋体" w:cs="宋体"/>
                <w:color w:val="auto"/>
                <w:sz w:val="24"/>
                <w:szCs w:val="24"/>
                <w:highlight w:val="none"/>
              </w:rPr>
            </w:pPr>
          </w:p>
        </w:tc>
        <w:tc>
          <w:tcPr>
            <w:tcW w:w="709" w:type="dxa"/>
            <w:noWrap w:val="0"/>
            <w:vAlign w:val="top"/>
          </w:tcPr>
          <w:p>
            <w:pPr>
              <w:spacing w:line="360" w:lineRule="auto"/>
              <w:rPr>
                <w:rFonts w:hint="eastAsia" w:ascii="宋体" w:hAnsi="宋体" w:eastAsia="宋体" w:cs="宋体"/>
                <w:color w:val="auto"/>
                <w:sz w:val="24"/>
                <w:szCs w:val="24"/>
                <w:highlight w:val="none"/>
              </w:rPr>
            </w:pPr>
          </w:p>
        </w:tc>
        <w:tc>
          <w:tcPr>
            <w:tcW w:w="1842" w:type="dxa"/>
            <w:noWrap w:val="0"/>
            <w:vAlign w:val="top"/>
          </w:tcPr>
          <w:p>
            <w:pPr>
              <w:spacing w:line="360" w:lineRule="auto"/>
              <w:rPr>
                <w:rFonts w:hint="eastAsia" w:ascii="宋体" w:hAnsi="宋体" w:eastAsia="宋体" w:cs="宋体"/>
                <w:color w:val="auto"/>
                <w:sz w:val="24"/>
                <w:szCs w:val="24"/>
                <w:highlight w:val="none"/>
              </w:rPr>
            </w:pPr>
          </w:p>
        </w:tc>
        <w:tc>
          <w:tcPr>
            <w:tcW w:w="1028" w:type="dxa"/>
            <w:noWrap w:val="0"/>
            <w:vAlign w:val="top"/>
          </w:tcPr>
          <w:p>
            <w:pPr>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672" w:type="dxa"/>
            <w:noWrap w:val="0"/>
            <w:vAlign w:val="center"/>
          </w:tcPr>
          <w:p>
            <w:pPr>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181" w:type="dxa"/>
            <w:noWrap w:val="0"/>
            <w:vAlign w:val="top"/>
          </w:tcPr>
          <w:p>
            <w:pPr>
              <w:spacing w:line="360" w:lineRule="auto"/>
              <w:rPr>
                <w:rFonts w:hint="eastAsia" w:ascii="宋体" w:hAnsi="宋体" w:eastAsia="宋体" w:cs="宋体"/>
                <w:color w:val="auto"/>
                <w:sz w:val="24"/>
                <w:szCs w:val="24"/>
                <w:highlight w:val="none"/>
              </w:rPr>
            </w:pPr>
          </w:p>
        </w:tc>
        <w:tc>
          <w:tcPr>
            <w:tcW w:w="1191" w:type="dxa"/>
            <w:noWrap w:val="0"/>
            <w:vAlign w:val="top"/>
          </w:tcPr>
          <w:p>
            <w:pPr>
              <w:spacing w:line="360" w:lineRule="auto"/>
              <w:rPr>
                <w:rFonts w:hint="eastAsia" w:ascii="宋体" w:hAnsi="宋体" w:eastAsia="宋体" w:cs="宋体"/>
                <w:color w:val="auto"/>
                <w:sz w:val="24"/>
                <w:szCs w:val="24"/>
                <w:highlight w:val="none"/>
              </w:rPr>
            </w:pPr>
          </w:p>
        </w:tc>
        <w:tc>
          <w:tcPr>
            <w:tcW w:w="1776" w:type="dxa"/>
            <w:noWrap w:val="0"/>
            <w:vAlign w:val="top"/>
          </w:tcPr>
          <w:p>
            <w:pPr>
              <w:spacing w:line="360" w:lineRule="auto"/>
              <w:rPr>
                <w:rFonts w:hint="eastAsia" w:ascii="宋体" w:hAnsi="宋体" w:eastAsia="宋体" w:cs="宋体"/>
                <w:color w:val="auto"/>
                <w:sz w:val="24"/>
                <w:szCs w:val="24"/>
                <w:highlight w:val="none"/>
              </w:rPr>
            </w:pPr>
          </w:p>
        </w:tc>
        <w:tc>
          <w:tcPr>
            <w:tcW w:w="709" w:type="dxa"/>
            <w:noWrap w:val="0"/>
            <w:vAlign w:val="top"/>
          </w:tcPr>
          <w:p>
            <w:pPr>
              <w:spacing w:line="360" w:lineRule="auto"/>
              <w:rPr>
                <w:rFonts w:hint="eastAsia" w:ascii="宋体" w:hAnsi="宋体" w:eastAsia="宋体" w:cs="宋体"/>
                <w:color w:val="auto"/>
                <w:sz w:val="24"/>
                <w:szCs w:val="24"/>
                <w:highlight w:val="none"/>
              </w:rPr>
            </w:pPr>
          </w:p>
        </w:tc>
        <w:tc>
          <w:tcPr>
            <w:tcW w:w="1842" w:type="dxa"/>
            <w:noWrap w:val="0"/>
            <w:vAlign w:val="top"/>
          </w:tcPr>
          <w:p>
            <w:pPr>
              <w:spacing w:line="360" w:lineRule="auto"/>
              <w:rPr>
                <w:rFonts w:hint="eastAsia" w:ascii="宋体" w:hAnsi="宋体" w:eastAsia="宋体" w:cs="宋体"/>
                <w:color w:val="auto"/>
                <w:sz w:val="24"/>
                <w:szCs w:val="24"/>
                <w:highlight w:val="none"/>
              </w:rPr>
            </w:pPr>
          </w:p>
        </w:tc>
        <w:tc>
          <w:tcPr>
            <w:tcW w:w="1028" w:type="dxa"/>
            <w:noWrap w:val="0"/>
            <w:vAlign w:val="top"/>
          </w:tcPr>
          <w:p>
            <w:pPr>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672" w:type="dxa"/>
            <w:noWrap w:val="0"/>
            <w:vAlign w:val="center"/>
          </w:tcPr>
          <w:p>
            <w:pPr>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181" w:type="dxa"/>
            <w:noWrap w:val="0"/>
            <w:vAlign w:val="top"/>
          </w:tcPr>
          <w:p>
            <w:pPr>
              <w:spacing w:line="360" w:lineRule="auto"/>
              <w:rPr>
                <w:rFonts w:hint="eastAsia" w:ascii="宋体" w:hAnsi="宋体" w:eastAsia="宋体" w:cs="宋体"/>
                <w:color w:val="auto"/>
                <w:sz w:val="24"/>
                <w:szCs w:val="24"/>
                <w:highlight w:val="none"/>
              </w:rPr>
            </w:pPr>
          </w:p>
        </w:tc>
        <w:tc>
          <w:tcPr>
            <w:tcW w:w="1191" w:type="dxa"/>
            <w:noWrap w:val="0"/>
            <w:vAlign w:val="top"/>
          </w:tcPr>
          <w:p>
            <w:pPr>
              <w:spacing w:line="360" w:lineRule="auto"/>
              <w:rPr>
                <w:rFonts w:hint="eastAsia" w:ascii="宋体" w:hAnsi="宋体" w:eastAsia="宋体" w:cs="宋体"/>
                <w:color w:val="auto"/>
                <w:sz w:val="24"/>
                <w:szCs w:val="24"/>
                <w:highlight w:val="none"/>
              </w:rPr>
            </w:pPr>
          </w:p>
        </w:tc>
        <w:tc>
          <w:tcPr>
            <w:tcW w:w="1776" w:type="dxa"/>
            <w:noWrap w:val="0"/>
            <w:vAlign w:val="top"/>
          </w:tcPr>
          <w:p>
            <w:pPr>
              <w:spacing w:line="360" w:lineRule="auto"/>
              <w:rPr>
                <w:rFonts w:hint="eastAsia" w:ascii="宋体" w:hAnsi="宋体" w:eastAsia="宋体" w:cs="宋体"/>
                <w:color w:val="auto"/>
                <w:sz w:val="24"/>
                <w:szCs w:val="24"/>
                <w:highlight w:val="none"/>
              </w:rPr>
            </w:pPr>
          </w:p>
        </w:tc>
        <w:tc>
          <w:tcPr>
            <w:tcW w:w="709" w:type="dxa"/>
            <w:noWrap w:val="0"/>
            <w:vAlign w:val="top"/>
          </w:tcPr>
          <w:p>
            <w:pPr>
              <w:spacing w:line="360" w:lineRule="auto"/>
              <w:rPr>
                <w:rFonts w:hint="eastAsia" w:ascii="宋体" w:hAnsi="宋体" w:eastAsia="宋体" w:cs="宋体"/>
                <w:color w:val="auto"/>
                <w:sz w:val="24"/>
                <w:szCs w:val="24"/>
                <w:highlight w:val="none"/>
              </w:rPr>
            </w:pPr>
          </w:p>
        </w:tc>
        <w:tc>
          <w:tcPr>
            <w:tcW w:w="1842" w:type="dxa"/>
            <w:noWrap w:val="0"/>
            <w:vAlign w:val="top"/>
          </w:tcPr>
          <w:p>
            <w:pPr>
              <w:spacing w:line="360" w:lineRule="auto"/>
              <w:rPr>
                <w:rFonts w:hint="eastAsia" w:ascii="宋体" w:hAnsi="宋体" w:eastAsia="宋体" w:cs="宋体"/>
                <w:color w:val="auto"/>
                <w:sz w:val="24"/>
                <w:szCs w:val="24"/>
                <w:highlight w:val="none"/>
              </w:rPr>
            </w:pPr>
          </w:p>
        </w:tc>
        <w:tc>
          <w:tcPr>
            <w:tcW w:w="1028" w:type="dxa"/>
            <w:noWrap w:val="0"/>
            <w:vAlign w:val="top"/>
          </w:tcPr>
          <w:p>
            <w:pPr>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672" w:type="dxa"/>
            <w:noWrap w:val="0"/>
            <w:vAlign w:val="center"/>
          </w:tcPr>
          <w:p>
            <w:pPr>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181" w:type="dxa"/>
            <w:noWrap w:val="0"/>
            <w:vAlign w:val="top"/>
          </w:tcPr>
          <w:p>
            <w:pPr>
              <w:spacing w:line="360" w:lineRule="auto"/>
              <w:rPr>
                <w:rFonts w:hint="eastAsia" w:ascii="宋体" w:hAnsi="宋体" w:eastAsia="宋体" w:cs="宋体"/>
                <w:color w:val="auto"/>
                <w:sz w:val="24"/>
                <w:szCs w:val="24"/>
                <w:highlight w:val="none"/>
              </w:rPr>
            </w:pPr>
          </w:p>
        </w:tc>
        <w:tc>
          <w:tcPr>
            <w:tcW w:w="1191" w:type="dxa"/>
            <w:noWrap w:val="0"/>
            <w:vAlign w:val="top"/>
          </w:tcPr>
          <w:p>
            <w:pPr>
              <w:spacing w:line="360" w:lineRule="auto"/>
              <w:rPr>
                <w:rFonts w:hint="eastAsia" w:ascii="宋体" w:hAnsi="宋体" w:eastAsia="宋体" w:cs="宋体"/>
                <w:color w:val="auto"/>
                <w:sz w:val="24"/>
                <w:szCs w:val="24"/>
                <w:highlight w:val="none"/>
              </w:rPr>
            </w:pPr>
          </w:p>
        </w:tc>
        <w:tc>
          <w:tcPr>
            <w:tcW w:w="1776" w:type="dxa"/>
            <w:noWrap w:val="0"/>
            <w:vAlign w:val="top"/>
          </w:tcPr>
          <w:p>
            <w:pPr>
              <w:spacing w:line="360" w:lineRule="auto"/>
              <w:rPr>
                <w:rFonts w:hint="eastAsia" w:ascii="宋体" w:hAnsi="宋体" w:eastAsia="宋体" w:cs="宋体"/>
                <w:color w:val="auto"/>
                <w:sz w:val="24"/>
                <w:szCs w:val="24"/>
                <w:highlight w:val="none"/>
              </w:rPr>
            </w:pPr>
          </w:p>
        </w:tc>
        <w:tc>
          <w:tcPr>
            <w:tcW w:w="709" w:type="dxa"/>
            <w:noWrap w:val="0"/>
            <w:vAlign w:val="top"/>
          </w:tcPr>
          <w:p>
            <w:pPr>
              <w:spacing w:line="360" w:lineRule="auto"/>
              <w:rPr>
                <w:rFonts w:hint="eastAsia" w:ascii="宋体" w:hAnsi="宋体" w:eastAsia="宋体" w:cs="宋体"/>
                <w:color w:val="auto"/>
                <w:sz w:val="24"/>
                <w:szCs w:val="24"/>
                <w:highlight w:val="none"/>
              </w:rPr>
            </w:pPr>
          </w:p>
        </w:tc>
        <w:tc>
          <w:tcPr>
            <w:tcW w:w="1842" w:type="dxa"/>
            <w:noWrap w:val="0"/>
            <w:vAlign w:val="top"/>
          </w:tcPr>
          <w:p>
            <w:pPr>
              <w:spacing w:line="360" w:lineRule="auto"/>
              <w:rPr>
                <w:rFonts w:hint="eastAsia" w:ascii="宋体" w:hAnsi="宋体" w:eastAsia="宋体" w:cs="宋体"/>
                <w:color w:val="auto"/>
                <w:sz w:val="24"/>
                <w:szCs w:val="24"/>
                <w:highlight w:val="none"/>
              </w:rPr>
            </w:pPr>
          </w:p>
        </w:tc>
        <w:tc>
          <w:tcPr>
            <w:tcW w:w="1028" w:type="dxa"/>
            <w:noWrap w:val="0"/>
            <w:vAlign w:val="top"/>
          </w:tcPr>
          <w:p>
            <w:pPr>
              <w:spacing w:line="360" w:lineRule="auto"/>
              <w:rPr>
                <w:rFonts w:hint="eastAsia" w:ascii="宋体" w:hAnsi="宋体" w:eastAsia="宋体" w:cs="宋体"/>
                <w:color w:val="auto"/>
                <w:sz w:val="24"/>
                <w:szCs w:val="24"/>
                <w:highlight w:val="none"/>
              </w:rPr>
            </w:pPr>
          </w:p>
        </w:tc>
      </w:tr>
    </w:tbl>
    <w:p>
      <w:pPr>
        <w:pStyle w:val="40"/>
        <w:snapToGrid w:val="0"/>
        <w:spacing w:line="300" w:lineRule="auto"/>
        <w:ind w:firstLine="0" w:firstLineChars="0"/>
        <w:contextualSpacing/>
        <w:rPr>
          <w:rFonts w:hint="eastAsia" w:ascii="宋体" w:hAnsi="宋体" w:eastAsia="宋体" w:cs="宋体"/>
          <w:color w:val="auto"/>
          <w:sz w:val="24"/>
          <w:szCs w:val="24"/>
          <w:highlight w:val="none"/>
        </w:rPr>
      </w:pP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附件6</w:t>
      </w:r>
    </w:p>
    <w:p>
      <w:pPr>
        <w:spacing w:line="480" w:lineRule="exact"/>
        <w:jc w:val="center"/>
        <w:rPr>
          <w:rFonts w:hint="eastAsia" w:ascii="宋体" w:hAnsi="宋体" w:eastAsia="宋体" w:cs="宋体"/>
          <w:b/>
          <w:color w:val="auto"/>
          <w:sz w:val="24"/>
          <w:szCs w:val="24"/>
          <w:highlight w:val="none"/>
        </w:rPr>
      </w:pPr>
      <w:bookmarkStart w:id="10" w:name="_Toc34987271"/>
      <w:bookmarkStart w:id="11" w:name="_Toc34991053"/>
      <w:bookmarkStart w:id="12" w:name="_Toc34984127"/>
      <w:bookmarkStart w:id="13" w:name="_Toc81879449"/>
      <w:r>
        <w:rPr>
          <w:rFonts w:hint="eastAsia" w:ascii="宋体" w:hAnsi="宋体" w:eastAsia="宋体" w:cs="宋体"/>
          <w:b/>
          <w:color w:val="auto"/>
          <w:sz w:val="24"/>
          <w:szCs w:val="24"/>
          <w:highlight w:val="none"/>
        </w:rPr>
        <w:t>服务及售后服务计划</w:t>
      </w:r>
    </w:p>
    <w:p>
      <w:pPr>
        <w:spacing w:line="480" w:lineRule="exact"/>
        <w:rPr>
          <w:rFonts w:hint="eastAsia" w:ascii="宋体" w:hAnsi="宋体" w:eastAsia="宋体" w:cs="宋体"/>
          <w:color w:val="auto"/>
          <w:sz w:val="24"/>
          <w:szCs w:val="24"/>
          <w:highlight w:val="none"/>
        </w:rPr>
      </w:pPr>
    </w:p>
    <w:p>
      <w:pPr>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（采购单位名称） </w:t>
      </w:r>
      <w:r>
        <w:rPr>
          <w:rFonts w:hint="eastAsia" w:ascii="宋体" w:hAnsi="宋体" w:eastAsia="宋体" w:cs="宋体"/>
          <w:color w:val="auto"/>
          <w:sz w:val="24"/>
          <w:szCs w:val="24"/>
          <w:highlight w:val="none"/>
        </w:rPr>
        <w:t>：</w:t>
      </w:r>
    </w:p>
    <w:p>
      <w:pPr>
        <w:spacing w:line="480" w:lineRule="exact"/>
        <w:ind w:firstLine="480" w:firstLineChars="200"/>
        <w:rPr>
          <w:rFonts w:hint="eastAsia" w:ascii="宋体" w:hAnsi="宋体" w:eastAsia="宋体" w:cs="宋体"/>
          <w:color w:val="auto"/>
          <w:sz w:val="24"/>
          <w:szCs w:val="24"/>
          <w:highlight w:val="none"/>
        </w:rPr>
      </w:pPr>
    </w:p>
    <w:p>
      <w:pPr>
        <w:spacing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w:t>
      </w:r>
      <w:r>
        <w:rPr>
          <w:rFonts w:hint="eastAsia" w:ascii="宋体" w:hAnsi="宋体" w:eastAsia="宋体" w:cs="宋体"/>
          <w:b/>
          <w:color w:val="auto"/>
          <w:sz w:val="24"/>
          <w:szCs w:val="24"/>
          <w:highlight w:val="none"/>
          <w:u w:val="single"/>
        </w:rPr>
        <w:t xml:space="preserve">南通日报社(南通报业传媒集团）           </w:t>
      </w:r>
      <w:r>
        <w:rPr>
          <w:rFonts w:hint="eastAsia" w:ascii="宋体" w:hAnsi="宋体" w:eastAsia="宋体" w:cs="宋体"/>
          <w:color w:val="auto"/>
          <w:sz w:val="24"/>
          <w:szCs w:val="24"/>
          <w:highlight w:val="none"/>
          <w:u w:val="single"/>
        </w:rPr>
        <w:t xml:space="preserve">（采购项目名称）  </w:t>
      </w:r>
      <w:r>
        <w:rPr>
          <w:rFonts w:hint="eastAsia" w:ascii="宋体" w:hAnsi="宋体" w:eastAsia="宋体" w:cs="宋体"/>
          <w:color w:val="auto"/>
          <w:sz w:val="24"/>
          <w:szCs w:val="24"/>
          <w:highlight w:val="none"/>
        </w:rPr>
        <w:t>磋商文件</w:t>
      </w:r>
      <w:r>
        <w:rPr>
          <w:rFonts w:hint="eastAsia" w:ascii="宋体" w:hAnsi="宋体" w:eastAsia="宋体" w:cs="宋体"/>
          <w:color w:val="auto"/>
          <w:sz w:val="24"/>
          <w:szCs w:val="24"/>
          <w:highlight w:val="none"/>
          <w:u w:val="single"/>
        </w:rPr>
        <w:t>(磋商文件编号：         )</w:t>
      </w:r>
      <w:r>
        <w:rPr>
          <w:rFonts w:hint="eastAsia" w:ascii="宋体" w:hAnsi="宋体" w:eastAsia="宋体" w:cs="宋体"/>
          <w:color w:val="auto"/>
          <w:sz w:val="24"/>
          <w:szCs w:val="24"/>
          <w:highlight w:val="none"/>
        </w:rPr>
        <w:t>的规定，我公司郑重承诺，如果我公司被确定为成交供应商，我公司对于成交货物或者服务，将按照以下条款提供优质和完善的售后服务：</w:t>
      </w:r>
    </w:p>
    <w:p>
      <w:pPr>
        <w:spacing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1.拟提供服务的项目</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2.免费质量保修年限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3.售后服务响应及到达现场的时间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4.详细的培训计划</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48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5.维修技术人员及设备方面的保证措施及收费标准（附维修技术人员等级证书）</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48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6.制造厂商或代理商在采购项目所在地（实施地）设置的售后服务网络及相关情况</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48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7.备品备件供应或后续服务情况及优惠价格</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48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8.其他增值服务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480" w:lineRule="exact"/>
        <w:rPr>
          <w:rFonts w:hint="eastAsia" w:ascii="宋体" w:hAnsi="宋体" w:eastAsia="宋体" w:cs="宋体"/>
          <w:color w:val="auto"/>
          <w:sz w:val="24"/>
          <w:szCs w:val="24"/>
          <w:highlight w:val="none"/>
        </w:rPr>
      </w:pP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40"/>
        <w:snapToGrid w:val="0"/>
        <w:spacing w:line="300" w:lineRule="auto"/>
        <w:ind w:firstLine="0" w:firstLineChars="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附件7</w:t>
      </w:r>
      <w:bookmarkEnd w:id="10"/>
      <w:bookmarkEnd w:id="11"/>
      <w:bookmarkEnd w:id="12"/>
      <w:bookmarkEnd w:id="13"/>
    </w:p>
    <w:p>
      <w:pPr>
        <w:pStyle w:val="40"/>
        <w:snapToGrid w:val="0"/>
        <w:spacing w:line="300" w:lineRule="auto"/>
        <w:ind w:firstLine="0" w:firstLineChars="0"/>
        <w:contextualSpacing/>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拟安排本项目技术人员情况表</w:t>
      </w:r>
    </w:p>
    <w:p>
      <w:pPr>
        <w:spacing w:line="360" w:lineRule="auto"/>
        <w:jc w:val="center"/>
        <w:rPr>
          <w:rFonts w:hint="eastAsia" w:ascii="宋体" w:hAnsi="宋体" w:eastAsia="宋体" w:cs="宋体"/>
          <w:color w:val="auto"/>
          <w:sz w:val="24"/>
          <w:szCs w:val="24"/>
          <w:highlight w:val="none"/>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315"/>
        <w:gridCol w:w="1315"/>
        <w:gridCol w:w="3109"/>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315" w:type="dxa"/>
            <w:tcBorders>
              <w:top w:val="double" w:color="auto" w:sz="4" w:space="0"/>
              <w:left w:val="double" w:color="auto" w:sz="4" w:space="0"/>
            </w:tcBorders>
            <w:noWrap w:val="0"/>
            <w:vAlign w:val="center"/>
          </w:tcPr>
          <w:p>
            <w:pPr>
              <w:spacing w:before="120"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姓名</w:t>
            </w:r>
          </w:p>
        </w:tc>
        <w:tc>
          <w:tcPr>
            <w:tcW w:w="1315" w:type="dxa"/>
            <w:tcBorders>
              <w:top w:val="double" w:color="auto" w:sz="4" w:space="0"/>
            </w:tcBorders>
            <w:noWrap w:val="0"/>
            <w:vAlign w:val="center"/>
          </w:tcPr>
          <w:p>
            <w:pPr>
              <w:spacing w:before="120"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职务</w:t>
            </w:r>
          </w:p>
        </w:tc>
        <w:tc>
          <w:tcPr>
            <w:tcW w:w="1315" w:type="dxa"/>
            <w:tcBorders>
              <w:top w:val="double" w:color="auto" w:sz="4" w:space="0"/>
            </w:tcBorders>
            <w:noWrap w:val="0"/>
            <w:vAlign w:val="center"/>
          </w:tcPr>
          <w:p>
            <w:pPr>
              <w:spacing w:before="120"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职称</w:t>
            </w:r>
          </w:p>
        </w:tc>
        <w:tc>
          <w:tcPr>
            <w:tcW w:w="3109" w:type="dxa"/>
            <w:tcBorders>
              <w:top w:val="double" w:color="auto" w:sz="4" w:space="0"/>
            </w:tcBorders>
            <w:noWrap w:val="0"/>
            <w:vAlign w:val="center"/>
          </w:tcPr>
          <w:p>
            <w:pPr>
              <w:spacing w:before="120"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相关资格</w:t>
            </w:r>
          </w:p>
        </w:tc>
        <w:tc>
          <w:tcPr>
            <w:tcW w:w="1437" w:type="dxa"/>
            <w:tcBorders>
              <w:top w:val="double" w:color="auto" w:sz="4" w:space="0"/>
              <w:right w:val="double" w:color="auto" w:sz="4" w:space="0"/>
            </w:tcBorders>
            <w:noWrap w:val="0"/>
            <w:vAlign w:val="center"/>
          </w:tcPr>
          <w:p>
            <w:pPr>
              <w:spacing w:before="120"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15" w:type="dxa"/>
            <w:tcBorders>
              <w:left w:val="doub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p>
        </w:tc>
        <w:tc>
          <w:tcPr>
            <w:tcW w:w="1315" w:type="dxa"/>
            <w:noWrap w:val="0"/>
            <w:vAlign w:val="center"/>
          </w:tcPr>
          <w:p>
            <w:pPr>
              <w:spacing w:line="360" w:lineRule="auto"/>
              <w:jc w:val="center"/>
              <w:rPr>
                <w:rFonts w:hint="eastAsia" w:ascii="宋体" w:hAnsi="宋体" w:eastAsia="宋体" w:cs="宋体"/>
                <w:color w:val="auto"/>
                <w:sz w:val="24"/>
                <w:szCs w:val="24"/>
                <w:highlight w:val="none"/>
              </w:rPr>
            </w:pPr>
          </w:p>
        </w:tc>
        <w:tc>
          <w:tcPr>
            <w:tcW w:w="1315" w:type="dxa"/>
            <w:noWrap w:val="0"/>
            <w:vAlign w:val="center"/>
          </w:tcPr>
          <w:p>
            <w:pPr>
              <w:spacing w:line="360" w:lineRule="auto"/>
              <w:jc w:val="center"/>
              <w:rPr>
                <w:rFonts w:hint="eastAsia" w:ascii="宋体" w:hAnsi="宋体" w:eastAsia="宋体" w:cs="宋体"/>
                <w:color w:val="auto"/>
                <w:sz w:val="24"/>
                <w:szCs w:val="24"/>
                <w:highlight w:val="none"/>
              </w:rPr>
            </w:pPr>
          </w:p>
        </w:tc>
        <w:tc>
          <w:tcPr>
            <w:tcW w:w="3109" w:type="dxa"/>
            <w:noWrap w:val="0"/>
            <w:vAlign w:val="center"/>
          </w:tcPr>
          <w:p>
            <w:pPr>
              <w:spacing w:line="360" w:lineRule="auto"/>
              <w:jc w:val="center"/>
              <w:rPr>
                <w:rFonts w:hint="eastAsia" w:ascii="宋体" w:hAnsi="宋体" w:eastAsia="宋体" w:cs="宋体"/>
                <w:color w:val="auto"/>
                <w:sz w:val="24"/>
                <w:szCs w:val="24"/>
                <w:highlight w:val="none"/>
              </w:rPr>
            </w:pPr>
          </w:p>
        </w:tc>
        <w:tc>
          <w:tcPr>
            <w:tcW w:w="1437" w:type="dxa"/>
            <w:tcBorders>
              <w:right w:val="doub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15" w:type="dxa"/>
            <w:tcBorders>
              <w:left w:val="doub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p>
        </w:tc>
        <w:tc>
          <w:tcPr>
            <w:tcW w:w="1315" w:type="dxa"/>
            <w:noWrap w:val="0"/>
            <w:vAlign w:val="center"/>
          </w:tcPr>
          <w:p>
            <w:pPr>
              <w:spacing w:line="360" w:lineRule="auto"/>
              <w:jc w:val="center"/>
              <w:rPr>
                <w:rFonts w:hint="eastAsia" w:ascii="宋体" w:hAnsi="宋体" w:eastAsia="宋体" w:cs="宋体"/>
                <w:color w:val="auto"/>
                <w:sz w:val="24"/>
                <w:szCs w:val="24"/>
                <w:highlight w:val="none"/>
              </w:rPr>
            </w:pPr>
          </w:p>
        </w:tc>
        <w:tc>
          <w:tcPr>
            <w:tcW w:w="1315" w:type="dxa"/>
            <w:noWrap w:val="0"/>
            <w:vAlign w:val="center"/>
          </w:tcPr>
          <w:p>
            <w:pPr>
              <w:spacing w:line="360" w:lineRule="auto"/>
              <w:jc w:val="center"/>
              <w:rPr>
                <w:rFonts w:hint="eastAsia" w:ascii="宋体" w:hAnsi="宋体" w:eastAsia="宋体" w:cs="宋体"/>
                <w:color w:val="auto"/>
                <w:sz w:val="24"/>
                <w:szCs w:val="24"/>
                <w:highlight w:val="none"/>
              </w:rPr>
            </w:pPr>
          </w:p>
        </w:tc>
        <w:tc>
          <w:tcPr>
            <w:tcW w:w="3109" w:type="dxa"/>
            <w:noWrap w:val="0"/>
            <w:vAlign w:val="center"/>
          </w:tcPr>
          <w:p>
            <w:pPr>
              <w:spacing w:line="360" w:lineRule="auto"/>
              <w:jc w:val="center"/>
              <w:rPr>
                <w:rFonts w:hint="eastAsia" w:ascii="宋体" w:hAnsi="宋体" w:eastAsia="宋体" w:cs="宋体"/>
                <w:color w:val="auto"/>
                <w:sz w:val="24"/>
                <w:szCs w:val="24"/>
                <w:highlight w:val="none"/>
              </w:rPr>
            </w:pPr>
          </w:p>
        </w:tc>
        <w:tc>
          <w:tcPr>
            <w:tcW w:w="1437" w:type="dxa"/>
            <w:tcBorders>
              <w:right w:val="doub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trPr>
        <w:tc>
          <w:tcPr>
            <w:tcW w:w="1315" w:type="dxa"/>
            <w:tcBorders>
              <w:left w:val="doub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p>
        </w:tc>
        <w:tc>
          <w:tcPr>
            <w:tcW w:w="1315" w:type="dxa"/>
            <w:noWrap w:val="0"/>
            <w:vAlign w:val="center"/>
          </w:tcPr>
          <w:p>
            <w:pPr>
              <w:spacing w:line="360" w:lineRule="auto"/>
              <w:jc w:val="center"/>
              <w:rPr>
                <w:rFonts w:hint="eastAsia" w:ascii="宋体" w:hAnsi="宋体" w:eastAsia="宋体" w:cs="宋体"/>
                <w:color w:val="auto"/>
                <w:sz w:val="24"/>
                <w:szCs w:val="24"/>
                <w:highlight w:val="none"/>
              </w:rPr>
            </w:pPr>
          </w:p>
        </w:tc>
        <w:tc>
          <w:tcPr>
            <w:tcW w:w="1315" w:type="dxa"/>
            <w:noWrap w:val="0"/>
            <w:vAlign w:val="center"/>
          </w:tcPr>
          <w:p>
            <w:pPr>
              <w:spacing w:line="360" w:lineRule="auto"/>
              <w:jc w:val="center"/>
              <w:rPr>
                <w:rFonts w:hint="eastAsia" w:ascii="宋体" w:hAnsi="宋体" w:eastAsia="宋体" w:cs="宋体"/>
                <w:color w:val="auto"/>
                <w:sz w:val="24"/>
                <w:szCs w:val="24"/>
                <w:highlight w:val="none"/>
              </w:rPr>
            </w:pPr>
          </w:p>
        </w:tc>
        <w:tc>
          <w:tcPr>
            <w:tcW w:w="3109" w:type="dxa"/>
            <w:noWrap w:val="0"/>
            <w:vAlign w:val="center"/>
          </w:tcPr>
          <w:p>
            <w:pPr>
              <w:spacing w:line="360" w:lineRule="auto"/>
              <w:jc w:val="center"/>
              <w:rPr>
                <w:rFonts w:hint="eastAsia" w:ascii="宋体" w:hAnsi="宋体" w:eastAsia="宋体" w:cs="宋体"/>
                <w:color w:val="auto"/>
                <w:sz w:val="24"/>
                <w:szCs w:val="24"/>
                <w:highlight w:val="none"/>
              </w:rPr>
            </w:pPr>
          </w:p>
        </w:tc>
        <w:tc>
          <w:tcPr>
            <w:tcW w:w="1437" w:type="dxa"/>
            <w:tcBorders>
              <w:right w:val="doub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15" w:type="dxa"/>
            <w:tcBorders>
              <w:left w:val="doub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p>
        </w:tc>
        <w:tc>
          <w:tcPr>
            <w:tcW w:w="1315" w:type="dxa"/>
            <w:noWrap w:val="0"/>
            <w:vAlign w:val="center"/>
          </w:tcPr>
          <w:p>
            <w:pPr>
              <w:spacing w:line="360" w:lineRule="auto"/>
              <w:jc w:val="center"/>
              <w:rPr>
                <w:rFonts w:hint="eastAsia" w:ascii="宋体" w:hAnsi="宋体" w:eastAsia="宋体" w:cs="宋体"/>
                <w:color w:val="auto"/>
                <w:sz w:val="24"/>
                <w:szCs w:val="24"/>
                <w:highlight w:val="none"/>
              </w:rPr>
            </w:pPr>
          </w:p>
        </w:tc>
        <w:tc>
          <w:tcPr>
            <w:tcW w:w="1315" w:type="dxa"/>
            <w:noWrap w:val="0"/>
            <w:vAlign w:val="center"/>
          </w:tcPr>
          <w:p>
            <w:pPr>
              <w:spacing w:line="360" w:lineRule="auto"/>
              <w:jc w:val="center"/>
              <w:rPr>
                <w:rFonts w:hint="eastAsia" w:ascii="宋体" w:hAnsi="宋体" w:eastAsia="宋体" w:cs="宋体"/>
                <w:color w:val="auto"/>
                <w:sz w:val="24"/>
                <w:szCs w:val="24"/>
                <w:highlight w:val="none"/>
              </w:rPr>
            </w:pPr>
          </w:p>
        </w:tc>
        <w:tc>
          <w:tcPr>
            <w:tcW w:w="3109" w:type="dxa"/>
            <w:noWrap w:val="0"/>
            <w:vAlign w:val="center"/>
          </w:tcPr>
          <w:p>
            <w:pPr>
              <w:spacing w:line="360" w:lineRule="auto"/>
              <w:jc w:val="center"/>
              <w:rPr>
                <w:rFonts w:hint="eastAsia" w:ascii="宋体" w:hAnsi="宋体" w:eastAsia="宋体" w:cs="宋体"/>
                <w:color w:val="auto"/>
                <w:sz w:val="24"/>
                <w:szCs w:val="24"/>
                <w:highlight w:val="none"/>
              </w:rPr>
            </w:pPr>
          </w:p>
        </w:tc>
        <w:tc>
          <w:tcPr>
            <w:tcW w:w="1437" w:type="dxa"/>
            <w:tcBorders>
              <w:right w:val="doub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15" w:type="dxa"/>
            <w:tcBorders>
              <w:left w:val="doub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p>
        </w:tc>
        <w:tc>
          <w:tcPr>
            <w:tcW w:w="1315" w:type="dxa"/>
            <w:noWrap w:val="0"/>
            <w:vAlign w:val="center"/>
          </w:tcPr>
          <w:p>
            <w:pPr>
              <w:spacing w:line="360" w:lineRule="auto"/>
              <w:jc w:val="center"/>
              <w:rPr>
                <w:rFonts w:hint="eastAsia" w:ascii="宋体" w:hAnsi="宋体" w:eastAsia="宋体" w:cs="宋体"/>
                <w:color w:val="auto"/>
                <w:sz w:val="24"/>
                <w:szCs w:val="24"/>
                <w:highlight w:val="none"/>
              </w:rPr>
            </w:pPr>
          </w:p>
        </w:tc>
        <w:tc>
          <w:tcPr>
            <w:tcW w:w="1315" w:type="dxa"/>
            <w:noWrap w:val="0"/>
            <w:vAlign w:val="center"/>
          </w:tcPr>
          <w:p>
            <w:pPr>
              <w:spacing w:line="360" w:lineRule="auto"/>
              <w:jc w:val="center"/>
              <w:rPr>
                <w:rFonts w:hint="eastAsia" w:ascii="宋体" w:hAnsi="宋体" w:eastAsia="宋体" w:cs="宋体"/>
                <w:color w:val="auto"/>
                <w:sz w:val="24"/>
                <w:szCs w:val="24"/>
                <w:highlight w:val="none"/>
              </w:rPr>
            </w:pPr>
          </w:p>
        </w:tc>
        <w:tc>
          <w:tcPr>
            <w:tcW w:w="3109" w:type="dxa"/>
            <w:noWrap w:val="0"/>
            <w:vAlign w:val="center"/>
          </w:tcPr>
          <w:p>
            <w:pPr>
              <w:spacing w:line="360" w:lineRule="auto"/>
              <w:jc w:val="center"/>
              <w:rPr>
                <w:rFonts w:hint="eastAsia" w:ascii="宋体" w:hAnsi="宋体" w:eastAsia="宋体" w:cs="宋体"/>
                <w:color w:val="auto"/>
                <w:sz w:val="24"/>
                <w:szCs w:val="24"/>
                <w:highlight w:val="none"/>
              </w:rPr>
            </w:pPr>
          </w:p>
        </w:tc>
        <w:tc>
          <w:tcPr>
            <w:tcW w:w="1437" w:type="dxa"/>
            <w:tcBorders>
              <w:right w:val="doub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15" w:type="dxa"/>
            <w:tcBorders>
              <w:left w:val="double" w:color="auto" w:sz="4" w:space="0"/>
              <w:bottom w:val="doub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p>
        </w:tc>
        <w:tc>
          <w:tcPr>
            <w:tcW w:w="1315" w:type="dxa"/>
            <w:tcBorders>
              <w:bottom w:val="doub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p>
        </w:tc>
        <w:tc>
          <w:tcPr>
            <w:tcW w:w="1315" w:type="dxa"/>
            <w:tcBorders>
              <w:bottom w:val="doub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p>
        </w:tc>
        <w:tc>
          <w:tcPr>
            <w:tcW w:w="3109" w:type="dxa"/>
            <w:tcBorders>
              <w:bottom w:val="doub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p>
        </w:tc>
        <w:tc>
          <w:tcPr>
            <w:tcW w:w="1437" w:type="dxa"/>
            <w:tcBorders>
              <w:bottom w:val="double" w:color="auto" w:sz="4" w:space="0"/>
              <w:right w:val="doub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p>
        </w:tc>
      </w:tr>
    </w:tbl>
    <w:p>
      <w:pPr>
        <w:snapToGrid w:val="0"/>
        <w:spacing w:before="120" w:line="300" w:lineRule="auto"/>
        <w:contextualSpacing/>
        <w:rPr>
          <w:rFonts w:hint="eastAsia" w:ascii="宋体" w:hAnsi="宋体" w:eastAsia="宋体" w:cs="宋体"/>
          <w:color w:val="auto"/>
          <w:sz w:val="24"/>
          <w:szCs w:val="24"/>
          <w:highlight w:val="none"/>
        </w:rPr>
      </w:pPr>
    </w:p>
    <w:p>
      <w:pPr>
        <w:snapToGrid w:val="0"/>
        <w:spacing w:before="120" w:line="300" w:lineRule="auto"/>
        <w:contextualSpacing/>
        <w:rPr>
          <w:rFonts w:hint="eastAsia" w:ascii="宋体" w:hAnsi="宋体" w:eastAsia="宋体" w:cs="宋体"/>
          <w:b/>
          <w:color w:val="auto"/>
          <w:sz w:val="24"/>
          <w:szCs w:val="24"/>
          <w:highlight w:val="none"/>
        </w:rPr>
      </w:pPr>
    </w:p>
    <w:p>
      <w:pPr>
        <w:snapToGrid w:val="0"/>
        <w:spacing w:before="120" w:line="300" w:lineRule="auto"/>
        <w:contextualSpacing/>
        <w:rPr>
          <w:rFonts w:hint="eastAsia" w:ascii="宋体" w:hAnsi="宋体" w:eastAsia="宋体" w:cs="宋体"/>
          <w:b/>
          <w:color w:val="auto"/>
          <w:sz w:val="24"/>
          <w:szCs w:val="24"/>
          <w:highlight w:val="none"/>
        </w:rPr>
      </w:pPr>
    </w:p>
    <w:p>
      <w:pPr>
        <w:snapToGrid w:val="0"/>
        <w:spacing w:before="120" w:line="300" w:lineRule="auto"/>
        <w:ind w:firstLine="472" w:firstLineChars="196"/>
        <w:contextualSpacing/>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附：1.上表所列人员的资历、资格文件、工作履历证明材料文件</w:t>
      </w:r>
    </w:p>
    <w:p>
      <w:pPr>
        <w:snapToGrid w:val="0"/>
        <w:spacing w:line="300" w:lineRule="auto"/>
        <w:ind w:firstLine="360"/>
        <w:contextualSpacing/>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2.有依法缴纳税赋和社会保障资金的良好记录（提供相关资料）</w:t>
      </w:r>
    </w:p>
    <w:p>
      <w:pPr>
        <w:rPr>
          <w:rFonts w:hint="eastAsia" w:ascii="宋体" w:hAnsi="宋体" w:eastAsia="宋体" w:cs="宋体"/>
          <w:color w:val="auto"/>
          <w:sz w:val="24"/>
          <w:szCs w:val="24"/>
          <w:highlight w:val="none"/>
        </w:rPr>
      </w:pPr>
    </w:p>
    <w:p>
      <w:pPr>
        <w:pStyle w:val="40"/>
        <w:ind w:firstLine="494"/>
        <w:rPr>
          <w:rFonts w:hint="eastAsia" w:ascii="宋体" w:hAnsi="宋体" w:eastAsia="宋体" w:cs="宋体"/>
          <w:color w:val="auto"/>
          <w:sz w:val="24"/>
          <w:szCs w:val="24"/>
          <w:highlight w:val="none"/>
        </w:rPr>
      </w:pPr>
    </w:p>
    <w:p>
      <w:pPr>
        <w:pStyle w:val="40"/>
        <w:ind w:firstLine="494"/>
        <w:rPr>
          <w:rFonts w:hint="eastAsia" w:ascii="宋体" w:hAnsi="宋体" w:eastAsia="宋体" w:cs="宋体"/>
          <w:color w:val="auto"/>
          <w:sz w:val="24"/>
          <w:szCs w:val="24"/>
          <w:highlight w:val="none"/>
        </w:rPr>
      </w:pPr>
    </w:p>
    <w:p>
      <w:pPr>
        <w:pStyle w:val="40"/>
        <w:ind w:firstLine="494"/>
        <w:rPr>
          <w:rFonts w:hint="eastAsia" w:ascii="宋体" w:hAnsi="宋体" w:eastAsia="宋体" w:cs="宋体"/>
          <w:color w:val="auto"/>
          <w:sz w:val="24"/>
          <w:szCs w:val="24"/>
          <w:highlight w:val="none"/>
        </w:rPr>
      </w:pPr>
    </w:p>
    <w:p>
      <w:pPr>
        <w:pStyle w:val="40"/>
        <w:ind w:firstLine="494"/>
        <w:rPr>
          <w:rFonts w:hint="eastAsia" w:ascii="宋体" w:hAnsi="宋体" w:eastAsia="宋体" w:cs="宋体"/>
          <w:color w:val="auto"/>
          <w:sz w:val="24"/>
          <w:szCs w:val="24"/>
          <w:highlight w:val="none"/>
        </w:rPr>
      </w:pPr>
    </w:p>
    <w:p>
      <w:pPr>
        <w:pStyle w:val="40"/>
        <w:ind w:firstLine="494"/>
        <w:rPr>
          <w:rFonts w:hint="eastAsia" w:ascii="宋体" w:hAnsi="宋体" w:eastAsia="宋体" w:cs="宋体"/>
          <w:color w:val="auto"/>
          <w:sz w:val="24"/>
          <w:szCs w:val="24"/>
          <w:highlight w:val="none"/>
        </w:rPr>
      </w:pPr>
    </w:p>
    <w:p>
      <w:pPr>
        <w:spacing w:line="500" w:lineRule="exact"/>
        <w:rPr>
          <w:rFonts w:hint="eastAsia" w:ascii="宋体" w:hAnsi="宋体" w:eastAsia="宋体" w:cs="宋体"/>
          <w:color w:val="auto"/>
          <w:sz w:val="24"/>
          <w:szCs w:val="24"/>
          <w:highlight w:val="none"/>
        </w:rPr>
      </w:pPr>
    </w:p>
    <w:p>
      <w:pPr>
        <w:spacing w:after="60" w:line="360" w:lineRule="auto"/>
        <w:jc w:val="center"/>
        <w:rPr>
          <w:rFonts w:hint="eastAsia" w:ascii="宋体" w:hAnsi="宋体" w:eastAsia="宋体" w:cs="宋体"/>
          <w:b/>
          <w:bCs/>
          <w:color w:val="auto"/>
          <w:sz w:val="24"/>
          <w:szCs w:val="24"/>
          <w:highlight w:val="none"/>
        </w:rPr>
      </w:pPr>
    </w:p>
    <w:p>
      <w:pPr>
        <w:spacing w:after="60" w:line="360" w:lineRule="auto"/>
        <w:jc w:val="center"/>
        <w:rPr>
          <w:rFonts w:hint="eastAsia" w:ascii="宋体" w:hAnsi="宋体" w:eastAsia="宋体" w:cs="宋体"/>
          <w:b/>
          <w:bCs/>
          <w:color w:val="auto"/>
          <w:sz w:val="24"/>
          <w:szCs w:val="24"/>
          <w:highlight w:val="none"/>
        </w:rPr>
      </w:pPr>
    </w:p>
    <w:p>
      <w:pPr>
        <w:spacing w:after="60" w:line="360" w:lineRule="auto"/>
        <w:jc w:val="center"/>
        <w:rPr>
          <w:rFonts w:hint="eastAsia" w:ascii="宋体" w:hAnsi="宋体" w:eastAsia="宋体" w:cs="宋体"/>
          <w:b/>
          <w:bCs/>
          <w:color w:val="auto"/>
          <w:sz w:val="24"/>
          <w:szCs w:val="24"/>
          <w:highlight w:val="none"/>
        </w:rPr>
      </w:pPr>
    </w:p>
    <w:p>
      <w:pPr>
        <w:spacing w:after="60" w:line="360" w:lineRule="auto"/>
        <w:jc w:val="center"/>
        <w:rPr>
          <w:rFonts w:hint="eastAsia" w:ascii="宋体" w:hAnsi="宋体" w:eastAsia="宋体" w:cs="宋体"/>
          <w:b/>
          <w:bCs/>
          <w:color w:val="auto"/>
          <w:sz w:val="24"/>
          <w:szCs w:val="24"/>
          <w:highlight w:val="none"/>
        </w:rPr>
      </w:pPr>
    </w:p>
    <w:p>
      <w:pPr>
        <w:spacing w:after="60" w:line="360" w:lineRule="auto"/>
        <w:jc w:val="center"/>
        <w:rPr>
          <w:rFonts w:hint="eastAsia" w:ascii="宋体" w:hAnsi="宋体" w:eastAsia="宋体" w:cs="宋体"/>
          <w:b/>
          <w:bCs/>
          <w:color w:val="auto"/>
          <w:sz w:val="24"/>
          <w:szCs w:val="24"/>
          <w:highlight w:val="none"/>
        </w:rPr>
      </w:pPr>
    </w:p>
    <w:p>
      <w:pPr>
        <w:spacing w:after="60" w:line="360" w:lineRule="auto"/>
        <w:jc w:val="center"/>
        <w:rPr>
          <w:rFonts w:hint="eastAsia" w:ascii="宋体" w:hAnsi="宋体" w:eastAsia="宋体" w:cs="宋体"/>
          <w:b/>
          <w:bCs/>
          <w:color w:val="auto"/>
          <w:sz w:val="24"/>
          <w:szCs w:val="24"/>
          <w:highlight w:val="none"/>
        </w:rPr>
      </w:pPr>
    </w:p>
    <w:p>
      <w:pPr>
        <w:spacing w:after="60"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响应文件</w:t>
      </w:r>
    </w:p>
    <w:p>
      <w:pPr>
        <w:spacing w:after="60"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（价格响应文件）</w:t>
      </w:r>
    </w:p>
    <w:p>
      <w:pPr>
        <w:spacing w:after="60"/>
        <w:jc w:val="center"/>
        <w:rPr>
          <w:rFonts w:hint="eastAsia" w:ascii="宋体" w:hAnsi="宋体" w:eastAsia="宋体" w:cs="宋体"/>
          <w:b/>
          <w:bCs/>
          <w:color w:val="auto"/>
          <w:sz w:val="24"/>
          <w:szCs w:val="24"/>
          <w:highlight w:val="none"/>
        </w:rPr>
      </w:pPr>
    </w:p>
    <w:p>
      <w:pPr>
        <w:spacing w:after="60"/>
        <w:jc w:val="center"/>
        <w:rPr>
          <w:rFonts w:hint="eastAsia" w:ascii="宋体" w:hAnsi="宋体" w:eastAsia="宋体" w:cs="宋体"/>
          <w:b/>
          <w:bCs/>
          <w:color w:val="auto"/>
          <w:sz w:val="24"/>
          <w:szCs w:val="24"/>
          <w:highlight w:val="none"/>
        </w:rPr>
      </w:pPr>
    </w:p>
    <w:p>
      <w:pPr>
        <w:spacing w:after="60"/>
        <w:jc w:val="center"/>
        <w:rPr>
          <w:rFonts w:hint="eastAsia" w:ascii="宋体" w:hAnsi="宋体" w:eastAsia="宋体" w:cs="宋体"/>
          <w:b/>
          <w:bCs/>
          <w:color w:val="auto"/>
          <w:sz w:val="24"/>
          <w:szCs w:val="24"/>
          <w:highlight w:val="none"/>
        </w:rPr>
      </w:pPr>
    </w:p>
    <w:p>
      <w:pPr>
        <w:spacing w:line="480" w:lineRule="exact"/>
        <w:rPr>
          <w:rFonts w:hint="eastAsia" w:ascii="宋体" w:hAnsi="宋体" w:eastAsia="宋体" w:cs="宋体"/>
          <w:b/>
          <w:color w:val="auto"/>
          <w:sz w:val="24"/>
          <w:szCs w:val="24"/>
          <w:highlight w:val="none"/>
          <w:u w:val="single"/>
        </w:rPr>
      </w:pPr>
      <w:r>
        <w:rPr>
          <w:rFonts w:hint="eastAsia" w:ascii="宋体" w:hAnsi="宋体" w:eastAsia="宋体" w:cs="宋体"/>
          <w:b/>
          <w:bCs/>
          <w:color w:val="auto"/>
          <w:spacing w:val="-6"/>
          <w:sz w:val="24"/>
          <w:szCs w:val="24"/>
          <w:highlight w:val="none"/>
        </w:rPr>
        <w:t>项目名称:</w:t>
      </w:r>
      <w:r>
        <w:rPr>
          <w:rFonts w:hint="eastAsia" w:ascii="宋体" w:hAnsi="宋体" w:eastAsia="宋体" w:cs="宋体"/>
          <w:b/>
          <w:color w:val="auto"/>
          <w:sz w:val="24"/>
          <w:szCs w:val="24"/>
          <w:highlight w:val="none"/>
          <w:u w:val="single"/>
        </w:rPr>
        <w:t xml:space="preserve"> 南通日报社(南通报业传媒集团）网络信息安全等级保护</w:t>
      </w:r>
    </w:p>
    <w:p>
      <w:pPr>
        <w:spacing w:line="500" w:lineRule="exact"/>
        <w:rPr>
          <w:rFonts w:hint="eastAsia" w:ascii="宋体" w:hAnsi="宋体" w:eastAsia="宋体" w:cs="宋体"/>
          <w:color w:val="auto"/>
          <w:sz w:val="24"/>
          <w:szCs w:val="24"/>
          <w:highlight w:val="none"/>
        </w:rPr>
      </w:pPr>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w:t>
      </w:r>
      <w:r>
        <w:rPr>
          <w:rFonts w:hint="eastAsia" w:ascii="宋体" w:hAnsi="宋体" w:eastAsia="宋体" w:cs="宋体"/>
          <w:b/>
          <w:color w:val="auto"/>
          <w:sz w:val="24"/>
          <w:szCs w:val="24"/>
          <w:highlight w:val="none"/>
          <w:u w:val="single"/>
        </w:rPr>
        <w:t xml:space="preserve">                                    </w:t>
      </w:r>
    </w:p>
    <w:p>
      <w:pPr>
        <w:ind w:left="1282" w:leftChars="171" w:hanging="923" w:hangingChars="38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（盖公章）</w:t>
      </w:r>
    </w:p>
    <w:p>
      <w:pPr>
        <w:ind w:left="1282" w:leftChars="171" w:hanging="923" w:hangingChars="383"/>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u w:val="single"/>
        </w:rPr>
      </w:pPr>
      <w:r>
        <w:rPr>
          <w:rFonts w:hint="eastAsia" w:ascii="宋体" w:hAnsi="宋体" w:eastAsia="宋体" w:cs="宋体"/>
          <w:b/>
          <w:color w:val="auto"/>
          <w:sz w:val="24"/>
          <w:szCs w:val="24"/>
          <w:highlight w:val="none"/>
        </w:rPr>
        <w:t>法定代表人签字：</w:t>
      </w:r>
      <w:r>
        <w:rPr>
          <w:rFonts w:hint="eastAsia" w:ascii="宋体" w:hAnsi="宋体" w:eastAsia="宋体" w:cs="宋体"/>
          <w:b/>
          <w:color w:val="auto"/>
          <w:sz w:val="24"/>
          <w:szCs w:val="24"/>
          <w:highlight w:val="none"/>
          <w:u w:val="single"/>
        </w:rPr>
        <w:t xml:space="preserve">                              </w:t>
      </w:r>
    </w:p>
    <w:p>
      <w:pPr>
        <w:ind w:left="1282" w:leftChars="171" w:hanging="923" w:hangingChars="38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（或委托授权代表）</w:t>
      </w:r>
    </w:p>
    <w:p>
      <w:pPr>
        <w:spacing w:line="312"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w:t>
      </w:r>
    </w:p>
    <w:p>
      <w:pPr>
        <w:spacing w:line="360" w:lineRule="auto"/>
        <w:ind w:firstLine="236" w:firstLineChars="98"/>
        <w:rPr>
          <w:rFonts w:hint="eastAsia" w:ascii="宋体" w:hAnsi="宋体" w:eastAsia="宋体" w:cs="宋体"/>
          <w:b/>
          <w:color w:val="auto"/>
          <w:sz w:val="24"/>
          <w:szCs w:val="24"/>
          <w:highlight w:val="none"/>
          <w:u w:val="single"/>
        </w:rPr>
      </w:pPr>
      <w:r>
        <w:rPr>
          <w:rFonts w:hint="eastAsia" w:ascii="宋体" w:hAnsi="宋体" w:eastAsia="宋体" w:cs="宋体"/>
          <w:b/>
          <w:color w:val="auto"/>
          <w:sz w:val="24"/>
          <w:szCs w:val="24"/>
          <w:highlight w:val="none"/>
        </w:rPr>
        <w:t>日    期：</w:t>
      </w:r>
      <w:r>
        <w:rPr>
          <w:rFonts w:hint="eastAsia" w:ascii="宋体" w:hAnsi="宋体" w:eastAsia="宋体" w:cs="宋体"/>
          <w:b/>
          <w:color w:val="auto"/>
          <w:sz w:val="24"/>
          <w:szCs w:val="24"/>
          <w:highlight w:val="none"/>
          <w:u w:val="single"/>
        </w:rPr>
        <w:t xml:space="preserve">                                    </w:t>
      </w:r>
    </w:p>
    <w:p>
      <w:pPr>
        <w:snapToGrid w:val="0"/>
        <w:spacing w:line="300" w:lineRule="auto"/>
        <w:rPr>
          <w:rFonts w:hint="eastAsia" w:ascii="宋体" w:hAnsi="宋体" w:eastAsia="宋体" w:cs="宋体"/>
          <w:color w:val="auto"/>
          <w:sz w:val="24"/>
          <w:szCs w:val="24"/>
          <w:highlight w:val="none"/>
        </w:rPr>
      </w:pPr>
    </w:p>
    <w:p>
      <w:pPr>
        <w:snapToGrid w:val="0"/>
        <w:spacing w:line="300" w:lineRule="auto"/>
        <w:rPr>
          <w:rFonts w:hint="eastAsia" w:ascii="宋体" w:hAnsi="宋体" w:eastAsia="宋体" w:cs="宋体"/>
          <w:color w:val="auto"/>
          <w:sz w:val="24"/>
          <w:szCs w:val="24"/>
          <w:highlight w:val="none"/>
        </w:rPr>
      </w:pPr>
    </w:p>
    <w:p>
      <w:pPr>
        <w:snapToGrid w:val="0"/>
        <w:spacing w:line="300" w:lineRule="auto"/>
        <w:rPr>
          <w:rFonts w:hint="eastAsia" w:ascii="宋体" w:hAnsi="宋体" w:eastAsia="宋体" w:cs="宋体"/>
          <w:color w:val="auto"/>
          <w:sz w:val="24"/>
          <w:szCs w:val="24"/>
          <w:highlight w:val="none"/>
        </w:rPr>
      </w:pPr>
    </w:p>
    <w:p>
      <w:pPr>
        <w:snapToGrid w:val="0"/>
        <w:spacing w:line="300" w:lineRule="auto"/>
        <w:rPr>
          <w:rFonts w:hint="eastAsia" w:ascii="宋体" w:hAnsi="宋体" w:eastAsia="宋体" w:cs="宋体"/>
          <w:color w:val="auto"/>
          <w:sz w:val="24"/>
          <w:szCs w:val="24"/>
          <w:highlight w:val="none"/>
        </w:rPr>
      </w:pPr>
    </w:p>
    <w:p>
      <w:pPr>
        <w:snapToGrid w:val="0"/>
        <w:spacing w:line="300" w:lineRule="auto"/>
        <w:rPr>
          <w:rFonts w:hint="eastAsia" w:ascii="宋体" w:hAnsi="宋体" w:eastAsia="宋体" w:cs="宋体"/>
          <w:color w:val="auto"/>
          <w:sz w:val="24"/>
          <w:szCs w:val="24"/>
          <w:highlight w:val="none"/>
        </w:rPr>
      </w:pPr>
    </w:p>
    <w:p>
      <w:pPr>
        <w:snapToGrid w:val="0"/>
        <w:spacing w:line="300" w:lineRule="auto"/>
        <w:rPr>
          <w:rFonts w:hint="eastAsia" w:ascii="宋体" w:hAnsi="宋体" w:eastAsia="宋体" w:cs="宋体"/>
          <w:color w:val="auto"/>
          <w:sz w:val="24"/>
          <w:szCs w:val="24"/>
          <w:highlight w:val="none"/>
        </w:rPr>
      </w:pPr>
    </w:p>
    <w:p>
      <w:pPr>
        <w:snapToGrid w:val="0"/>
        <w:spacing w:line="300" w:lineRule="auto"/>
        <w:rPr>
          <w:rFonts w:hint="eastAsia" w:ascii="宋体" w:hAnsi="宋体" w:eastAsia="宋体" w:cs="宋体"/>
          <w:color w:val="auto"/>
          <w:sz w:val="24"/>
          <w:szCs w:val="24"/>
          <w:highlight w:val="none"/>
        </w:rPr>
      </w:pPr>
    </w:p>
    <w:p>
      <w:pPr>
        <w:snapToGrid w:val="0"/>
        <w:spacing w:line="300" w:lineRule="auto"/>
        <w:rPr>
          <w:rFonts w:hint="eastAsia" w:ascii="宋体" w:hAnsi="宋体" w:eastAsia="宋体" w:cs="宋体"/>
          <w:color w:val="auto"/>
          <w:sz w:val="24"/>
          <w:szCs w:val="24"/>
          <w:highlight w:val="none"/>
        </w:rPr>
      </w:pPr>
    </w:p>
    <w:p>
      <w:pPr>
        <w:snapToGrid w:val="0"/>
        <w:spacing w:line="300" w:lineRule="auto"/>
        <w:rPr>
          <w:rFonts w:hint="eastAsia" w:ascii="宋体" w:hAnsi="宋体" w:eastAsia="宋体" w:cs="宋体"/>
          <w:color w:val="auto"/>
          <w:sz w:val="24"/>
          <w:szCs w:val="24"/>
          <w:highlight w:val="none"/>
        </w:rPr>
      </w:pPr>
    </w:p>
    <w:p>
      <w:pPr>
        <w:snapToGrid w:val="0"/>
        <w:spacing w:line="300" w:lineRule="auto"/>
        <w:rPr>
          <w:rFonts w:hint="eastAsia" w:ascii="宋体" w:hAnsi="宋体" w:eastAsia="宋体" w:cs="宋体"/>
          <w:color w:val="auto"/>
          <w:sz w:val="24"/>
          <w:szCs w:val="24"/>
          <w:highlight w:val="none"/>
        </w:rPr>
      </w:pPr>
    </w:p>
    <w:p>
      <w:pPr>
        <w:snapToGrid w:val="0"/>
        <w:spacing w:line="300" w:lineRule="auto"/>
        <w:rPr>
          <w:rFonts w:hint="eastAsia" w:ascii="宋体" w:hAnsi="宋体" w:eastAsia="宋体" w:cs="宋体"/>
          <w:color w:val="auto"/>
          <w:sz w:val="24"/>
          <w:szCs w:val="24"/>
          <w:highlight w:val="none"/>
        </w:rPr>
      </w:pPr>
    </w:p>
    <w:p>
      <w:pPr>
        <w:snapToGrid w:val="0"/>
        <w:spacing w:line="300" w:lineRule="auto"/>
        <w:rPr>
          <w:rFonts w:hint="eastAsia" w:ascii="宋体" w:hAnsi="宋体" w:eastAsia="宋体" w:cs="宋体"/>
          <w:color w:val="auto"/>
          <w:sz w:val="24"/>
          <w:szCs w:val="24"/>
          <w:highlight w:val="none"/>
        </w:rPr>
      </w:pPr>
    </w:p>
    <w:p>
      <w:pPr>
        <w:snapToGrid w:val="0"/>
        <w:spacing w:line="300" w:lineRule="auto"/>
        <w:rPr>
          <w:rFonts w:hint="eastAsia" w:ascii="宋体" w:hAnsi="宋体" w:eastAsia="宋体" w:cs="宋体"/>
          <w:color w:val="auto"/>
          <w:sz w:val="24"/>
          <w:szCs w:val="24"/>
          <w:highlight w:val="none"/>
        </w:rPr>
      </w:pPr>
    </w:p>
    <w:p>
      <w:pPr>
        <w:snapToGrid w:val="0"/>
        <w:spacing w:line="300" w:lineRule="auto"/>
        <w:rPr>
          <w:rFonts w:hint="eastAsia" w:ascii="宋体" w:hAnsi="宋体" w:eastAsia="宋体" w:cs="宋体"/>
          <w:color w:val="auto"/>
          <w:sz w:val="24"/>
          <w:szCs w:val="24"/>
          <w:highlight w:val="none"/>
        </w:rPr>
      </w:pPr>
    </w:p>
    <w:p>
      <w:pPr>
        <w:snapToGrid w:val="0"/>
        <w:spacing w:line="300" w:lineRule="auto"/>
        <w:rPr>
          <w:rFonts w:hint="eastAsia" w:ascii="宋体" w:hAnsi="宋体" w:eastAsia="宋体" w:cs="宋体"/>
          <w:color w:val="auto"/>
          <w:sz w:val="24"/>
          <w:szCs w:val="24"/>
          <w:highlight w:val="none"/>
        </w:rPr>
      </w:pPr>
    </w:p>
    <w:p>
      <w:pPr>
        <w:snapToGrid w:val="0"/>
        <w:spacing w:line="300" w:lineRule="auto"/>
        <w:rPr>
          <w:rFonts w:hint="eastAsia" w:ascii="宋体" w:hAnsi="宋体" w:eastAsia="宋体" w:cs="宋体"/>
          <w:color w:val="auto"/>
          <w:sz w:val="24"/>
          <w:szCs w:val="24"/>
          <w:highlight w:val="none"/>
        </w:rPr>
      </w:pPr>
    </w:p>
    <w:p>
      <w:pPr>
        <w:snapToGrid w:val="0"/>
        <w:spacing w:line="300" w:lineRule="auto"/>
        <w:rPr>
          <w:rFonts w:hint="eastAsia" w:ascii="宋体" w:hAnsi="宋体" w:eastAsia="宋体" w:cs="宋体"/>
          <w:color w:val="auto"/>
          <w:sz w:val="24"/>
          <w:szCs w:val="24"/>
          <w:highlight w:val="none"/>
        </w:rPr>
      </w:pPr>
    </w:p>
    <w:p>
      <w:pPr>
        <w:snapToGrid w:val="0"/>
        <w:spacing w:line="300" w:lineRule="auto"/>
        <w:rPr>
          <w:rFonts w:hint="eastAsia" w:ascii="宋体" w:hAnsi="宋体" w:eastAsia="宋体" w:cs="宋体"/>
          <w:color w:val="auto"/>
          <w:sz w:val="24"/>
          <w:szCs w:val="24"/>
          <w:highlight w:val="none"/>
        </w:rPr>
      </w:pPr>
    </w:p>
    <w:p>
      <w:pPr>
        <w:snapToGrid w:val="0"/>
        <w:spacing w:line="300" w:lineRule="auto"/>
        <w:rPr>
          <w:rFonts w:hint="eastAsia" w:ascii="宋体" w:hAnsi="宋体" w:eastAsia="宋体" w:cs="宋体"/>
          <w:color w:val="auto"/>
          <w:sz w:val="24"/>
          <w:szCs w:val="24"/>
          <w:highlight w:val="none"/>
        </w:rPr>
      </w:pPr>
    </w:p>
    <w:p>
      <w:pPr>
        <w:snapToGrid w:val="0"/>
        <w:spacing w:line="300" w:lineRule="auto"/>
        <w:rPr>
          <w:rFonts w:hint="eastAsia" w:ascii="宋体" w:hAnsi="宋体" w:eastAsia="宋体" w:cs="宋体"/>
          <w:color w:val="auto"/>
          <w:sz w:val="24"/>
          <w:szCs w:val="24"/>
          <w:highlight w:val="none"/>
        </w:rPr>
      </w:pPr>
    </w:p>
    <w:p>
      <w:pPr>
        <w:snapToGrid w:val="0"/>
        <w:spacing w:line="30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附件1：</w:t>
      </w:r>
    </w:p>
    <w:p>
      <w:pPr>
        <w:snapToGrid w:val="0"/>
        <w:spacing w:line="360" w:lineRule="auto"/>
        <w:ind w:firstLine="361" w:firstLineChars="150"/>
        <w:jc w:val="center"/>
        <w:rPr>
          <w:rFonts w:hint="eastAsia" w:ascii="宋体" w:hAnsi="宋体" w:eastAsia="宋体" w:cs="宋体"/>
          <w:b/>
          <w:color w:val="auto"/>
          <w:sz w:val="24"/>
          <w:szCs w:val="24"/>
          <w:highlight w:val="none"/>
        </w:rPr>
      </w:pPr>
      <w:bookmarkStart w:id="14" w:name="_GoBack"/>
      <w:r>
        <w:rPr>
          <w:rFonts w:hint="eastAsia" w:ascii="宋体" w:hAnsi="宋体" w:eastAsia="宋体" w:cs="宋体"/>
          <w:b/>
          <w:color w:val="auto"/>
          <w:sz w:val="24"/>
          <w:szCs w:val="24"/>
          <w:highlight w:val="none"/>
        </w:rPr>
        <w:t>响应报价总表</w:t>
      </w:r>
    </w:p>
    <w:bookmarkEnd w:id="14"/>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响应人（盖章）：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3"/>
        <w:gridCol w:w="1652"/>
        <w:gridCol w:w="1739"/>
        <w:gridCol w:w="1739"/>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53" w:type="dxa"/>
            <w:noWrap w:val="0"/>
            <w:vAlign w:val="top"/>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p>
        </w:tc>
        <w:tc>
          <w:tcPr>
            <w:tcW w:w="1652" w:type="dxa"/>
            <w:noWrap w:val="0"/>
            <w:vAlign w:val="top"/>
          </w:tcPr>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规格型号或服务</w:t>
            </w:r>
          </w:p>
        </w:tc>
        <w:tc>
          <w:tcPr>
            <w:tcW w:w="1739" w:type="dxa"/>
            <w:noWrap w:val="0"/>
            <w:vAlign w:val="top"/>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数量（台）</w:t>
            </w:r>
          </w:p>
        </w:tc>
        <w:tc>
          <w:tcPr>
            <w:tcW w:w="1739" w:type="dxa"/>
            <w:noWrap w:val="0"/>
            <w:vAlign w:val="top"/>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单价（元）</w:t>
            </w:r>
          </w:p>
        </w:tc>
        <w:tc>
          <w:tcPr>
            <w:tcW w:w="1739" w:type="dxa"/>
            <w:noWrap w:val="0"/>
            <w:vAlign w:val="top"/>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noWrap w:val="0"/>
            <w:vAlign w:val="top"/>
          </w:tcPr>
          <w:p>
            <w:pPr>
              <w:snapToGrid w:val="0"/>
              <w:spacing w:line="360" w:lineRule="auto"/>
              <w:rPr>
                <w:rFonts w:hint="eastAsia" w:ascii="宋体" w:hAnsi="宋体" w:eastAsia="宋体" w:cs="宋体"/>
                <w:color w:val="auto"/>
                <w:sz w:val="24"/>
                <w:szCs w:val="24"/>
                <w:highlight w:val="none"/>
              </w:rPr>
            </w:pPr>
          </w:p>
        </w:tc>
        <w:tc>
          <w:tcPr>
            <w:tcW w:w="1652" w:type="dxa"/>
            <w:noWrap w:val="0"/>
            <w:vAlign w:val="top"/>
          </w:tcPr>
          <w:p>
            <w:pPr>
              <w:snapToGrid w:val="0"/>
              <w:spacing w:line="360" w:lineRule="auto"/>
              <w:rPr>
                <w:rFonts w:hint="eastAsia" w:ascii="宋体" w:hAnsi="宋体" w:eastAsia="宋体" w:cs="宋体"/>
                <w:color w:val="auto"/>
                <w:sz w:val="24"/>
                <w:szCs w:val="24"/>
                <w:highlight w:val="none"/>
              </w:rPr>
            </w:pPr>
          </w:p>
        </w:tc>
        <w:tc>
          <w:tcPr>
            <w:tcW w:w="1739" w:type="dxa"/>
            <w:noWrap w:val="0"/>
            <w:vAlign w:val="top"/>
          </w:tcPr>
          <w:p>
            <w:pPr>
              <w:snapToGrid w:val="0"/>
              <w:spacing w:line="360" w:lineRule="auto"/>
              <w:rPr>
                <w:rFonts w:hint="eastAsia" w:ascii="宋体" w:hAnsi="宋体" w:eastAsia="宋体" w:cs="宋体"/>
                <w:color w:val="auto"/>
                <w:sz w:val="24"/>
                <w:szCs w:val="24"/>
                <w:highlight w:val="none"/>
              </w:rPr>
            </w:pPr>
          </w:p>
        </w:tc>
        <w:tc>
          <w:tcPr>
            <w:tcW w:w="1739" w:type="dxa"/>
            <w:noWrap w:val="0"/>
            <w:vAlign w:val="top"/>
          </w:tcPr>
          <w:p>
            <w:pPr>
              <w:snapToGrid w:val="0"/>
              <w:spacing w:line="360" w:lineRule="auto"/>
              <w:rPr>
                <w:rFonts w:hint="eastAsia" w:ascii="宋体" w:hAnsi="宋体" w:eastAsia="宋体" w:cs="宋体"/>
                <w:color w:val="auto"/>
                <w:sz w:val="24"/>
                <w:szCs w:val="24"/>
                <w:highlight w:val="none"/>
              </w:rPr>
            </w:pPr>
          </w:p>
        </w:tc>
        <w:tc>
          <w:tcPr>
            <w:tcW w:w="1739" w:type="dxa"/>
            <w:noWrap w:val="0"/>
            <w:vAlign w:val="top"/>
          </w:tcPr>
          <w:p>
            <w:pPr>
              <w:snapToGrid w:val="0"/>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noWrap w:val="0"/>
            <w:vAlign w:val="top"/>
          </w:tcPr>
          <w:p>
            <w:pPr>
              <w:snapToGrid w:val="0"/>
              <w:spacing w:line="360" w:lineRule="auto"/>
              <w:rPr>
                <w:rFonts w:hint="eastAsia" w:ascii="宋体" w:hAnsi="宋体" w:eastAsia="宋体" w:cs="宋体"/>
                <w:color w:val="auto"/>
                <w:sz w:val="24"/>
                <w:szCs w:val="24"/>
                <w:highlight w:val="none"/>
              </w:rPr>
            </w:pPr>
          </w:p>
        </w:tc>
        <w:tc>
          <w:tcPr>
            <w:tcW w:w="1652" w:type="dxa"/>
            <w:noWrap w:val="0"/>
            <w:vAlign w:val="top"/>
          </w:tcPr>
          <w:p>
            <w:pPr>
              <w:snapToGrid w:val="0"/>
              <w:spacing w:line="360" w:lineRule="auto"/>
              <w:rPr>
                <w:rFonts w:hint="eastAsia" w:ascii="宋体" w:hAnsi="宋体" w:eastAsia="宋体" w:cs="宋体"/>
                <w:color w:val="auto"/>
                <w:sz w:val="24"/>
                <w:szCs w:val="24"/>
                <w:highlight w:val="none"/>
              </w:rPr>
            </w:pPr>
          </w:p>
        </w:tc>
        <w:tc>
          <w:tcPr>
            <w:tcW w:w="1739" w:type="dxa"/>
            <w:noWrap w:val="0"/>
            <w:vAlign w:val="top"/>
          </w:tcPr>
          <w:p>
            <w:pPr>
              <w:snapToGrid w:val="0"/>
              <w:spacing w:line="360" w:lineRule="auto"/>
              <w:rPr>
                <w:rFonts w:hint="eastAsia" w:ascii="宋体" w:hAnsi="宋体" w:eastAsia="宋体" w:cs="宋体"/>
                <w:color w:val="auto"/>
                <w:sz w:val="24"/>
                <w:szCs w:val="24"/>
                <w:highlight w:val="none"/>
              </w:rPr>
            </w:pPr>
          </w:p>
        </w:tc>
        <w:tc>
          <w:tcPr>
            <w:tcW w:w="1739" w:type="dxa"/>
            <w:noWrap w:val="0"/>
            <w:vAlign w:val="top"/>
          </w:tcPr>
          <w:p>
            <w:pPr>
              <w:snapToGrid w:val="0"/>
              <w:spacing w:line="360" w:lineRule="auto"/>
              <w:rPr>
                <w:rFonts w:hint="eastAsia" w:ascii="宋体" w:hAnsi="宋体" w:eastAsia="宋体" w:cs="宋体"/>
                <w:color w:val="auto"/>
                <w:sz w:val="24"/>
                <w:szCs w:val="24"/>
                <w:highlight w:val="none"/>
              </w:rPr>
            </w:pPr>
          </w:p>
        </w:tc>
        <w:tc>
          <w:tcPr>
            <w:tcW w:w="1739" w:type="dxa"/>
            <w:noWrap w:val="0"/>
            <w:vAlign w:val="top"/>
          </w:tcPr>
          <w:p>
            <w:pPr>
              <w:snapToGrid w:val="0"/>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noWrap w:val="0"/>
            <w:vAlign w:val="top"/>
          </w:tcPr>
          <w:p>
            <w:pPr>
              <w:snapToGrid w:val="0"/>
              <w:spacing w:line="360" w:lineRule="auto"/>
              <w:rPr>
                <w:rFonts w:hint="eastAsia" w:ascii="宋体" w:hAnsi="宋体" w:eastAsia="宋体" w:cs="宋体"/>
                <w:color w:val="auto"/>
                <w:sz w:val="24"/>
                <w:szCs w:val="24"/>
                <w:highlight w:val="none"/>
              </w:rPr>
            </w:pPr>
          </w:p>
        </w:tc>
        <w:tc>
          <w:tcPr>
            <w:tcW w:w="1652" w:type="dxa"/>
            <w:noWrap w:val="0"/>
            <w:vAlign w:val="top"/>
          </w:tcPr>
          <w:p>
            <w:pPr>
              <w:snapToGrid w:val="0"/>
              <w:spacing w:line="360" w:lineRule="auto"/>
              <w:rPr>
                <w:rFonts w:hint="eastAsia" w:ascii="宋体" w:hAnsi="宋体" w:eastAsia="宋体" w:cs="宋体"/>
                <w:color w:val="auto"/>
                <w:sz w:val="24"/>
                <w:szCs w:val="24"/>
                <w:highlight w:val="none"/>
              </w:rPr>
            </w:pPr>
          </w:p>
        </w:tc>
        <w:tc>
          <w:tcPr>
            <w:tcW w:w="1739" w:type="dxa"/>
            <w:noWrap w:val="0"/>
            <w:vAlign w:val="top"/>
          </w:tcPr>
          <w:p>
            <w:pPr>
              <w:snapToGrid w:val="0"/>
              <w:spacing w:line="360" w:lineRule="auto"/>
              <w:rPr>
                <w:rFonts w:hint="eastAsia" w:ascii="宋体" w:hAnsi="宋体" w:eastAsia="宋体" w:cs="宋体"/>
                <w:color w:val="auto"/>
                <w:sz w:val="24"/>
                <w:szCs w:val="24"/>
                <w:highlight w:val="none"/>
              </w:rPr>
            </w:pPr>
          </w:p>
        </w:tc>
        <w:tc>
          <w:tcPr>
            <w:tcW w:w="1739" w:type="dxa"/>
            <w:noWrap w:val="0"/>
            <w:vAlign w:val="top"/>
          </w:tcPr>
          <w:p>
            <w:pPr>
              <w:snapToGrid w:val="0"/>
              <w:spacing w:line="360" w:lineRule="auto"/>
              <w:rPr>
                <w:rFonts w:hint="eastAsia" w:ascii="宋体" w:hAnsi="宋体" w:eastAsia="宋体" w:cs="宋体"/>
                <w:color w:val="auto"/>
                <w:sz w:val="24"/>
                <w:szCs w:val="24"/>
                <w:highlight w:val="none"/>
              </w:rPr>
            </w:pPr>
          </w:p>
        </w:tc>
        <w:tc>
          <w:tcPr>
            <w:tcW w:w="1739" w:type="dxa"/>
            <w:noWrap w:val="0"/>
            <w:vAlign w:val="top"/>
          </w:tcPr>
          <w:p>
            <w:pPr>
              <w:snapToGrid w:val="0"/>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noWrap w:val="0"/>
            <w:vAlign w:val="top"/>
          </w:tcPr>
          <w:p>
            <w:pPr>
              <w:snapToGrid w:val="0"/>
              <w:spacing w:line="360" w:lineRule="auto"/>
              <w:rPr>
                <w:rFonts w:hint="eastAsia" w:ascii="宋体" w:hAnsi="宋体" w:eastAsia="宋体" w:cs="宋体"/>
                <w:color w:val="auto"/>
                <w:sz w:val="24"/>
                <w:szCs w:val="24"/>
                <w:highlight w:val="none"/>
              </w:rPr>
            </w:pPr>
          </w:p>
        </w:tc>
        <w:tc>
          <w:tcPr>
            <w:tcW w:w="1652" w:type="dxa"/>
            <w:noWrap w:val="0"/>
            <w:vAlign w:val="top"/>
          </w:tcPr>
          <w:p>
            <w:pPr>
              <w:snapToGrid w:val="0"/>
              <w:spacing w:line="360" w:lineRule="auto"/>
              <w:rPr>
                <w:rFonts w:hint="eastAsia" w:ascii="宋体" w:hAnsi="宋体" w:eastAsia="宋体" w:cs="宋体"/>
                <w:color w:val="auto"/>
                <w:sz w:val="24"/>
                <w:szCs w:val="24"/>
                <w:highlight w:val="none"/>
              </w:rPr>
            </w:pPr>
          </w:p>
        </w:tc>
        <w:tc>
          <w:tcPr>
            <w:tcW w:w="1739" w:type="dxa"/>
            <w:noWrap w:val="0"/>
            <w:vAlign w:val="top"/>
          </w:tcPr>
          <w:p>
            <w:pPr>
              <w:snapToGrid w:val="0"/>
              <w:spacing w:line="360" w:lineRule="auto"/>
              <w:rPr>
                <w:rFonts w:hint="eastAsia" w:ascii="宋体" w:hAnsi="宋体" w:eastAsia="宋体" w:cs="宋体"/>
                <w:color w:val="auto"/>
                <w:sz w:val="24"/>
                <w:szCs w:val="24"/>
                <w:highlight w:val="none"/>
              </w:rPr>
            </w:pPr>
          </w:p>
        </w:tc>
        <w:tc>
          <w:tcPr>
            <w:tcW w:w="1739" w:type="dxa"/>
            <w:noWrap w:val="0"/>
            <w:vAlign w:val="top"/>
          </w:tcPr>
          <w:p>
            <w:pPr>
              <w:snapToGrid w:val="0"/>
              <w:spacing w:line="360" w:lineRule="auto"/>
              <w:rPr>
                <w:rFonts w:hint="eastAsia" w:ascii="宋体" w:hAnsi="宋体" w:eastAsia="宋体" w:cs="宋体"/>
                <w:color w:val="auto"/>
                <w:sz w:val="24"/>
                <w:szCs w:val="24"/>
                <w:highlight w:val="none"/>
              </w:rPr>
            </w:pPr>
          </w:p>
        </w:tc>
        <w:tc>
          <w:tcPr>
            <w:tcW w:w="1739" w:type="dxa"/>
            <w:noWrap w:val="0"/>
            <w:vAlign w:val="top"/>
          </w:tcPr>
          <w:p>
            <w:pPr>
              <w:snapToGrid w:val="0"/>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3" w:type="dxa"/>
            <w:gridSpan w:val="4"/>
            <w:noWrap w:val="0"/>
            <w:vAlign w:val="top"/>
          </w:tcPr>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响应总报价（含    %专用增值税税率，大写）：</w:t>
            </w:r>
          </w:p>
        </w:tc>
        <w:tc>
          <w:tcPr>
            <w:tcW w:w="1739" w:type="dxa"/>
            <w:noWrap w:val="0"/>
            <w:vAlign w:val="top"/>
          </w:tcPr>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bl>
    <w:p>
      <w:pPr>
        <w:snapToGrid w:val="0"/>
        <w:spacing w:line="360" w:lineRule="auto"/>
        <w:rPr>
          <w:rFonts w:hint="eastAsia" w:ascii="宋体" w:hAnsi="宋体" w:eastAsia="宋体" w:cs="宋体"/>
          <w:b/>
          <w:color w:val="auto"/>
          <w:sz w:val="24"/>
          <w:szCs w:val="24"/>
          <w:highlight w:val="none"/>
        </w:rPr>
      </w:pPr>
    </w:p>
    <w:p>
      <w:pPr>
        <w:snapToGrid w:val="0"/>
        <w:spacing w:line="360" w:lineRule="auto"/>
        <w:ind w:firstLine="472" w:firstLineChars="196"/>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注：本表只是表式，仅供参考。响应人可根据实际需要自行增减。</w:t>
      </w:r>
    </w:p>
    <w:p>
      <w:pPr>
        <w:snapToGrid w:val="0"/>
        <w:spacing w:line="300" w:lineRule="auto"/>
        <w:rPr>
          <w:rFonts w:hint="eastAsia" w:ascii="宋体" w:hAnsi="宋体" w:eastAsia="宋体" w:cs="宋体"/>
          <w:color w:val="auto"/>
          <w:sz w:val="24"/>
          <w:szCs w:val="24"/>
          <w:highlight w:val="none"/>
        </w:rPr>
      </w:pPr>
    </w:p>
    <w:p>
      <w:pPr>
        <w:pStyle w:val="5"/>
        <w:spacing w:before="240" w:after="240" w:line="360" w:lineRule="auto"/>
        <w:jc w:val="center"/>
        <w:rPr>
          <w:rFonts w:hint="eastAsia" w:ascii="宋体" w:hAnsi="宋体" w:eastAsia="宋体" w:cs="宋体"/>
          <w:color w:val="auto"/>
          <w:sz w:val="24"/>
          <w:szCs w:val="24"/>
          <w:highlight w:val="none"/>
        </w:rPr>
      </w:pPr>
    </w:p>
    <w:p>
      <w:pPr>
        <w:pStyle w:val="5"/>
        <w:spacing w:before="240" w:after="240" w:line="360" w:lineRule="auto"/>
        <w:jc w:val="center"/>
        <w:rPr>
          <w:rFonts w:hint="eastAsia" w:ascii="宋体" w:hAnsi="宋体" w:eastAsia="宋体" w:cs="宋体"/>
          <w:color w:val="auto"/>
          <w:sz w:val="24"/>
          <w:szCs w:val="24"/>
          <w:highlight w:val="none"/>
        </w:rPr>
      </w:pPr>
    </w:p>
    <w:bookmarkEnd w:id="5"/>
    <w:p>
      <w:pPr>
        <w:spacing w:line="360" w:lineRule="auto"/>
        <w:rPr>
          <w:rFonts w:hint="eastAsia" w:ascii="宋体" w:hAnsi="宋体" w:eastAsia="宋体" w:cs="宋体"/>
          <w:color w:val="auto"/>
          <w:sz w:val="24"/>
          <w:szCs w:val="24"/>
          <w:highlight w:val="none"/>
        </w:rPr>
      </w:pPr>
    </w:p>
    <w:sectPr>
      <w:footerReference r:id="rId3" w:type="default"/>
      <w:pgSz w:w="11906" w:h="16838"/>
      <w:pgMar w:top="1418" w:right="1134" w:bottom="1418" w:left="141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62915"/>
      <w:docPartObj>
        <w:docPartGallery w:val="autotext"/>
      </w:docPartObj>
    </w:sdtPr>
    <w:sdtContent>
      <w:p>
        <w:pPr>
          <w:pStyle w:val="12"/>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12"/>
      <w:jc w:val="center"/>
      <w:rPr>
        <w:rFonts w:ascii="宋体"/>
        <w:sz w:val="21"/>
        <w:szCs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F0780E"/>
    <w:rsid w:val="00000D33"/>
    <w:rsid w:val="00011822"/>
    <w:rsid w:val="00012E91"/>
    <w:rsid w:val="0001347B"/>
    <w:rsid w:val="00013CE2"/>
    <w:rsid w:val="00040F96"/>
    <w:rsid w:val="0004158E"/>
    <w:rsid w:val="00053D96"/>
    <w:rsid w:val="00076D8B"/>
    <w:rsid w:val="000969A2"/>
    <w:rsid w:val="000A59FC"/>
    <w:rsid w:val="000B158A"/>
    <w:rsid w:val="000C21AE"/>
    <w:rsid w:val="000D2EC9"/>
    <w:rsid w:val="000D6005"/>
    <w:rsid w:val="000D669E"/>
    <w:rsid w:val="000F2052"/>
    <w:rsid w:val="00101289"/>
    <w:rsid w:val="001246D5"/>
    <w:rsid w:val="00125932"/>
    <w:rsid w:val="00126943"/>
    <w:rsid w:val="0012786D"/>
    <w:rsid w:val="00135F55"/>
    <w:rsid w:val="00150D65"/>
    <w:rsid w:val="00156822"/>
    <w:rsid w:val="00156F0D"/>
    <w:rsid w:val="00180C78"/>
    <w:rsid w:val="00184205"/>
    <w:rsid w:val="00190C1B"/>
    <w:rsid w:val="001C129C"/>
    <w:rsid w:val="001E5472"/>
    <w:rsid w:val="001F55DF"/>
    <w:rsid w:val="001F5CC7"/>
    <w:rsid w:val="001F74FE"/>
    <w:rsid w:val="00204E1F"/>
    <w:rsid w:val="002217ED"/>
    <w:rsid w:val="00223E53"/>
    <w:rsid w:val="00225561"/>
    <w:rsid w:val="00226595"/>
    <w:rsid w:val="002278D7"/>
    <w:rsid w:val="0023160F"/>
    <w:rsid w:val="00231D22"/>
    <w:rsid w:val="00235C32"/>
    <w:rsid w:val="00257C8A"/>
    <w:rsid w:val="00260248"/>
    <w:rsid w:val="0026582B"/>
    <w:rsid w:val="0027053D"/>
    <w:rsid w:val="00275852"/>
    <w:rsid w:val="002A7059"/>
    <w:rsid w:val="002B7B16"/>
    <w:rsid w:val="002C3A61"/>
    <w:rsid w:val="002C484C"/>
    <w:rsid w:val="002D306F"/>
    <w:rsid w:val="002D3C87"/>
    <w:rsid w:val="002E0306"/>
    <w:rsid w:val="002E65E7"/>
    <w:rsid w:val="003063F3"/>
    <w:rsid w:val="0031377C"/>
    <w:rsid w:val="0034197F"/>
    <w:rsid w:val="00345A86"/>
    <w:rsid w:val="00347086"/>
    <w:rsid w:val="0034785C"/>
    <w:rsid w:val="0035274D"/>
    <w:rsid w:val="003612B5"/>
    <w:rsid w:val="00371B0E"/>
    <w:rsid w:val="003753A0"/>
    <w:rsid w:val="00380107"/>
    <w:rsid w:val="00383DEA"/>
    <w:rsid w:val="00393B73"/>
    <w:rsid w:val="00394F49"/>
    <w:rsid w:val="003B1175"/>
    <w:rsid w:val="003C2A22"/>
    <w:rsid w:val="003D4837"/>
    <w:rsid w:val="003E6266"/>
    <w:rsid w:val="003F4AB5"/>
    <w:rsid w:val="004170F9"/>
    <w:rsid w:val="00444C59"/>
    <w:rsid w:val="00457ED7"/>
    <w:rsid w:val="00465646"/>
    <w:rsid w:val="004672F8"/>
    <w:rsid w:val="00472BC7"/>
    <w:rsid w:val="004750D9"/>
    <w:rsid w:val="004801F3"/>
    <w:rsid w:val="00485BDD"/>
    <w:rsid w:val="004B1ED3"/>
    <w:rsid w:val="004C0514"/>
    <w:rsid w:val="004C4077"/>
    <w:rsid w:val="004C7A76"/>
    <w:rsid w:val="004D231E"/>
    <w:rsid w:val="004E4900"/>
    <w:rsid w:val="004E60A3"/>
    <w:rsid w:val="004E77EB"/>
    <w:rsid w:val="00516C89"/>
    <w:rsid w:val="00520011"/>
    <w:rsid w:val="005202DB"/>
    <w:rsid w:val="005218B2"/>
    <w:rsid w:val="0054365B"/>
    <w:rsid w:val="005438AB"/>
    <w:rsid w:val="00544C6C"/>
    <w:rsid w:val="00553040"/>
    <w:rsid w:val="0056050E"/>
    <w:rsid w:val="005668B2"/>
    <w:rsid w:val="00574C55"/>
    <w:rsid w:val="00575553"/>
    <w:rsid w:val="00576B55"/>
    <w:rsid w:val="0058450F"/>
    <w:rsid w:val="0059267B"/>
    <w:rsid w:val="005A3382"/>
    <w:rsid w:val="005A44A7"/>
    <w:rsid w:val="005B4E54"/>
    <w:rsid w:val="005D3F9F"/>
    <w:rsid w:val="005E06FF"/>
    <w:rsid w:val="005F106A"/>
    <w:rsid w:val="005F32C8"/>
    <w:rsid w:val="005F3F70"/>
    <w:rsid w:val="005F54DF"/>
    <w:rsid w:val="00600754"/>
    <w:rsid w:val="00600BEB"/>
    <w:rsid w:val="00611887"/>
    <w:rsid w:val="00621DEB"/>
    <w:rsid w:val="0063072C"/>
    <w:rsid w:val="00645E14"/>
    <w:rsid w:val="00647F0B"/>
    <w:rsid w:val="00696E5B"/>
    <w:rsid w:val="006A5424"/>
    <w:rsid w:val="006B3085"/>
    <w:rsid w:val="006E0F95"/>
    <w:rsid w:val="006E4241"/>
    <w:rsid w:val="006E4DA0"/>
    <w:rsid w:val="006F3C22"/>
    <w:rsid w:val="00702DB9"/>
    <w:rsid w:val="007516AF"/>
    <w:rsid w:val="00754236"/>
    <w:rsid w:val="0075453B"/>
    <w:rsid w:val="007618D0"/>
    <w:rsid w:val="00762781"/>
    <w:rsid w:val="00767236"/>
    <w:rsid w:val="00792449"/>
    <w:rsid w:val="007A1A16"/>
    <w:rsid w:val="007B3EBC"/>
    <w:rsid w:val="007B4088"/>
    <w:rsid w:val="007B7533"/>
    <w:rsid w:val="007D4D85"/>
    <w:rsid w:val="007E06C8"/>
    <w:rsid w:val="007E1998"/>
    <w:rsid w:val="007F0B15"/>
    <w:rsid w:val="0080455E"/>
    <w:rsid w:val="00807C1D"/>
    <w:rsid w:val="008118E6"/>
    <w:rsid w:val="00813851"/>
    <w:rsid w:val="00833D93"/>
    <w:rsid w:val="008503D1"/>
    <w:rsid w:val="00851E2E"/>
    <w:rsid w:val="00857740"/>
    <w:rsid w:val="00865564"/>
    <w:rsid w:val="00867160"/>
    <w:rsid w:val="008846E5"/>
    <w:rsid w:val="0088612A"/>
    <w:rsid w:val="00886BAF"/>
    <w:rsid w:val="008A4399"/>
    <w:rsid w:val="008D0CEE"/>
    <w:rsid w:val="008D46ED"/>
    <w:rsid w:val="008D474B"/>
    <w:rsid w:val="008D4816"/>
    <w:rsid w:val="008D68F4"/>
    <w:rsid w:val="008E3325"/>
    <w:rsid w:val="008E576C"/>
    <w:rsid w:val="008F7676"/>
    <w:rsid w:val="009002AD"/>
    <w:rsid w:val="009225B5"/>
    <w:rsid w:val="0092658E"/>
    <w:rsid w:val="009508A9"/>
    <w:rsid w:val="009B0A82"/>
    <w:rsid w:val="009B2882"/>
    <w:rsid w:val="009C457F"/>
    <w:rsid w:val="009C7B91"/>
    <w:rsid w:val="00A02E78"/>
    <w:rsid w:val="00A10A9D"/>
    <w:rsid w:val="00A17956"/>
    <w:rsid w:val="00A17A6F"/>
    <w:rsid w:val="00A23F3B"/>
    <w:rsid w:val="00A4620B"/>
    <w:rsid w:val="00A520B4"/>
    <w:rsid w:val="00A53496"/>
    <w:rsid w:val="00A559D7"/>
    <w:rsid w:val="00A575EE"/>
    <w:rsid w:val="00A81EB3"/>
    <w:rsid w:val="00A86B34"/>
    <w:rsid w:val="00A87EA1"/>
    <w:rsid w:val="00A94F0E"/>
    <w:rsid w:val="00AC1DF8"/>
    <w:rsid w:val="00AC6309"/>
    <w:rsid w:val="00AD6888"/>
    <w:rsid w:val="00AE2032"/>
    <w:rsid w:val="00AE5DAF"/>
    <w:rsid w:val="00B0347E"/>
    <w:rsid w:val="00B1562A"/>
    <w:rsid w:val="00B16FCF"/>
    <w:rsid w:val="00B21B1A"/>
    <w:rsid w:val="00B244CB"/>
    <w:rsid w:val="00B248F1"/>
    <w:rsid w:val="00B254B5"/>
    <w:rsid w:val="00B46A18"/>
    <w:rsid w:val="00B61D36"/>
    <w:rsid w:val="00B66F4E"/>
    <w:rsid w:val="00B75A3D"/>
    <w:rsid w:val="00B86750"/>
    <w:rsid w:val="00BB07AB"/>
    <w:rsid w:val="00BB2E76"/>
    <w:rsid w:val="00BC341E"/>
    <w:rsid w:val="00BE2B0E"/>
    <w:rsid w:val="00BF17C3"/>
    <w:rsid w:val="00C267F6"/>
    <w:rsid w:val="00C31C8A"/>
    <w:rsid w:val="00C32319"/>
    <w:rsid w:val="00C3293A"/>
    <w:rsid w:val="00C43875"/>
    <w:rsid w:val="00C51502"/>
    <w:rsid w:val="00C5413F"/>
    <w:rsid w:val="00C56DD5"/>
    <w:rsid w:val="00C672CE"/>
    <w:rsid w:val="00C73AF9"/>
    <w:rsid w:val="00C80D0E"/>
    <w:rsid w:val="00C95786"/>
    <w:rsid w:val="00CA4447"/>
    <w:rsid w:val="00CA47E8"/>
    <w:rsid w:val="00CB6B9B"/>
    <w:rsid w:val="00CB6F9A"/>
    <w:rsid w:val="00CB7958"/>
    <w:rsid w:val="00CC3140"/>
    <w:rsid w:val="00CC459D"/>
    <w:rsid w:val="00CD2965"/>
    <w:rsid w:val="00CE5B63"/>
    <w:rsid w:val="00CE6909"/>
    <w:rsid w:val="00D01C88"/>
    <w:rsid w:val="00D03FA3"/>
    <w:rsid w:val="00D14C0C"/>
    <w:rsid w:val="00D22CC1"/>
    <w:rsid w:val="00D23FC5"/>
    <w:rsid w:val="00D549F5"/>
    <w:rsid w:val="00D554D0"/>
    <w:rsid w:val="00D57A06"/>
    <w:rsid w:val="00D75FBD"/>
    <w:rsid w:val="00D7683B"/>
    <w:rsid w:val="00D7716A"/>
    <w:rsid w:val="00D94947"/>
    <w:rsid w:val="00DB1FEE"/>
    <w:rsid w:val="00DB2BF2"/>
    <w:rsid w:val="00DB448E"/>
    <w:rsid w:val="00DB62B0"/>
    <w:rsid w:val="00DB76F6"/>
    <w:rsid w:val="00DC4C02"/>
    <w:rsid w:val="00DD0E11"/>
    <w:rsid w:val="00DE0422"/>
    <w:rsid w:val="00DF08A2"/>
    <w:rsid w:val="00DF2C75"/>
    <w:rsid w:val="00DF755D"/>
    <w:rsid w:val="00E041C7"/>
    <w:rsid w:val="00E17134"/>
    <w:rsid w:val="00E502FE"/>
    <w:rsid w:val="00E55157"/>
    <w:rsid w:val="00E56BF8"/>
    <w:rsid w:val="00E62945"/>
    <w:rsid w:val="00E74EFD"/>
    <w:rsid w:val="00E765E5"/>
    <w:rsid w:val="00E965C9"/>
    <w:rsid w:val="00EA69B8"/>
    <w:rsid w:val="00EB0F7D"/>
    <w:rsid w:val="00EB4453"/>
    <w:rsid w:val="00ED417E"/>
    <w:rsid w:val="00EE6E21"/>
    <w:rsid w:val="00EF08E6"/>
    <w:rsid w:val="00EF539C"/>
    <w:rsid w:val="00F03448"/>
    <w:rsid w:val="00F054B7"/>
    <w:rsid w:val="00F0780E"/>
    <w:rsid w:val="00F16C9A"/>
    <w:rsid w:val="00F3334F"/>
    <w:rsid w:val="00F3469A"/>
    <w:rsid w:val="00F379E1"/>
    <w:rsid w:val="00F441D6"/>
    <w:rsid w:val="00F52389"/>
    <w:rsid w:val="00F55BEB"/>
    <w:rsid w:val="00F56207"/>
    <w:rsid w:val="00F57C81"/>
    <w:rsid w:val="00F6280E"/>
    <w:rsid w:val="00F81312"/>
    <w:rsid w:val="00F8244E"/>
    <w:rsid w:val="00F87A04"/>
    <w:rsid w:val="00FB0214"/>
    <w:rsid w:val="00FB5B49"/>
    <w:rsid w:val="00FD6319"/>
    <w:rsid w:val="00FD7B73"/>
    <w:rsid w:val="00FE47CA"/>
    <w:rsid w:val="00FE6A5C"/>
    <w:rsid w:val="00FE6BE4"/>
    <w:rsid w:val="00FF60A4"/>
    <w:rsid w:val="051F7258"/>
    <w:rsid w:val="06791058"/>
    <w:rsid w:val="0D337208"/>
    <w:rsid w:val="126D648D"/>
    <w:rsid w:val="15472B56"/>
    <w:rsid w:val="17AC5E79"/>
    <w:rsid w:val="17CEDD32"/>
    <w:rsid w:val="181F6915"/>
    <w:rsid w:val="1B1464DA"/>
    <w:rsid w:val="1C4B3066"/>
    <w:rsid w:val="1DE33F41"/>
    <w:rsid w:val="211B1DFD"/>
    <w:rsid w:val="21585A0B"/>
    <w:rsid w:val="21CC1AA7"/>
    <w:rsid w:val="228F7BEB"/>
    <w:rsid w:val="22F9162F"/>
    <w:rsid w:val="2301220B"/>
    <w:rsid w:val="27674F32"/>
    <w:rsid w:val="29B5513A"/>
    <w:rsid w:val="2A4766EC"/>
    <w:rsid w:val="2DD80176"/>
    <w:rsid w:val="2ED23278"/>
    <w:rsid w:val="361E5A6C"/>
    <w:rsid w:val="36CE0F9D"/>
    <w:rsid w:val="38844BF2"/>
    <w:rsid w:val="39796A43"/>
    <w:rsid w:val="3BBB75D3"/>
    <w:rsid w:val="3BEB40E5"/>
    <w:rsid w:val="3DCB25D0"/>
    <w:rsid w:val="3EB0731C"/>
    <w:rsid w:val="40554C35"/>
    <w:rsid w:val="438C5973"/>
    <w:rsid w:val="470A7964"/>
    <w:rsid w:val="47436475"/>
    <w:rsid w:val="4ABE0F92"/>
    <w:rsid w:val="4D5F0464"/>
    <w:rsid w:val="50EA09FA"/>
    <w:rsid w:val="533A541C"/>
    <w:rsid w:val="53913B25"/>
    <w:rsid w:val="54E86926"/>
    <w:rsid w:val="5541634F"/>
    <w:rsid w:val="571670D4"/>
    <w:rsid w:val="59AB3583"/>
    <w:rsid w:val="5A35025B"/>
    <w:rsid w:val="5C6A53F7"/>
    <w:rsid w:val="5F41431F"/>
    <w:rsid w:val="5F757B7D"/>
    <w:rsid w:val="60A66515"/>
    <w:rsid w:val="61B825BC"/>
    <w:rsid w:val="6200554A"/>
    <w:rsid w:val="672A2E53"/>
    <w:rsid w:val="6953426A"/>
    <w:rsid w:val="699578EC"/>
    <w:rsid w:val="6A0B4BC4"/>
    <w:rsid w:val="6ADF0C1A"/>
    <w:rsid w:val="6B81193C"/>
    <w:rsid w:val="6C230591"/>
    <w:rsid w:val="6DAC6487"/>
    <w:rsid w:val="6F204EAE"/>
    <w:rsid w:val="72684D25"/>
    <w:rsid w:val="72D40CAE"/>
    <w:rsid w:val="77DD293F"/>
    <w:rsid w:val="79764B5C"/>
    <w:rsid w:val="7E1A525C"/>
    <w:rsid w:val="7EA21AFA"/>
    <w:rsid w:val="7FDBADA9"/>
    <w:rsid w:val="AFBFFD2D"/>
    <w:rsid w:val="BAF74F6D"/>
    <w:rsid w:val="DDBC71BF"/>
    <w:rsid w:val="EA7E91D3"/>
    <w:rsid w:val="F5C7932B"/>
    <w:rsid w:val="FC3EE50D"/>
    <w:rsid w:val="FD7165BA"/>
    <w:rsid w:val="FDBFCA10"/>
    <w:rsid w:val="FDF74369"/>
    <w:rsid w:val="FEFF4E61"/>
    <w:rsid w:val="FF9EFEAB"/>
    <w:rsid w:val="FFFFDF8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23"/>
    <w:qFormat/>
    <w:uiPriority w:val="99"/>
    <w:pPr>
      <w:keepNext/>
      <w:keepLines/>
      <w:spacing w:before="340" w:after="330" w:line="578" w:lineRule="auto"/>
      <w:outlineLvl w:val="0"/>
    </w:pPr>
    <w:rPr>
      <w:b/>
      <w:bCs/>
      <w:kern w:val="44"/>
      <w:sz w:val="44"/>
      <w:szCs w:val="4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34"/>
    <w:qFormat/>
    <w:uiPriority w:val="99"/>
    <w:pPr>
      <w:ind w:firstLine="420" w:firstLineChars="200"/>
    </w:pPr>
    <w:rPr>
      <w:sz w:val="32"/>
      <w:szCs w:val="24"/>
    </w:rPr>
  </w:style>
  <w:style w:type="paragraph" w:styleId="3">
    <w:name w:val="Body Text Indent"/>
    <w:basedOn w:val="1"/>
    <w:next w:val="4"/>
    <w:link w:val="33"/>
    <w:semiHidden/>
    <w:unhideWhenUsed/>
    <w:qFormat/>
    <w:uiPriority w:val="99"/>
    <w:pPr>
      <w:spacing w:after="120"/>
      <w:ind w:left="420" w:leftChars="200"/>
    </w:pPr>
  </w:style>
  <w:style w:type="paragraph" w:styleId="4">
    <w:name w:val="envelope return"/>
    <w:basedOn w:val="1"/>
    <w:qFormat/>
    <w:uiPriority w:val="99"/>
    <w:pPr>
      <w:snapToGrid w:val="0"/>
    </w:pPr>
    <w:rPr>
      <w:rFonts w:ascii="Arial" w:hAnsi="Arial" w:cs="Arial"/>
    </w:rPr>
  </w:style>
  <w:style w:type="paragraph" w:styleId="6">
    <w:name w:val="Normal Indent"/>
    <w:basedOn w:val="1"/>
    <w:qFormat/>
    <w:uiPriority w:val="0"/>
    <w:pPr>
      <w:ind w:firstLine="420"/>
    </w:pPr>
    <w:rPr>
      <w:rFonts w:ascii="Times New Roman" w:hAnsi="Times New Roman"/>
      <w:kern w:val="0"/>
      <w:sz w:val="20"/>
      <w:szCs w:val="20"/>
    </w:rPr>
  </w:style>
  <w:style w:type="paragraph" w:styleId="7">
    <w:name w:val="Document Map"/>
    <w:basedOn w:val="1"/>
    <w:link w:val="29"/>
    <w:semiHidden/>
    <w:qFormat/>
    <w:uiPriority w:val="99"/>
    <w:pPr>
      <w:shd w:val="clear" w:color="auto" w:fill="000080"/>
    </w:pPr>
  </w:style>
  <w:style w:type="paragraph" w:styleId="8">
    <w:name w:val="Body Text"/>
    <w:basedOn w:val="1"/>
    <w:link w:val="38"/>
    <w:semiHidden/>
    <w:unhideWhenUsed/>
    <w:qFormat/>
    <w:uiPriority w:val="99"/>
    <w:pPr>
      <w:spacing w:after="120"/>
    </w:pPr>
  </w:style>
  <w:style w:type="paragraph" w:styleId="9">
    <w:name w:val="Plain Text"/>
    <w:basedOn w:val="1"/>
    <w:qFormat/>
    <w:uiPriority w:val="0"/>
    <w:rPr>
      <w:rFonts w:ascii="宋体" w:hAnsi="Courier New"/>
      <w:kern w:val="0"/>
      <w:sz w:val="20"/>
      <w:szCs w:val="20"/>
    </w:rPr>
  </w:style>
  <w:style w:type="paragraph" w:styleId="10">
    <w:name w:val="Body Text Indent 2"/>
    <w:basedOn w:val="1"/>
    <w:unhideWhenUsed/>
    <w:qFormat/>
    <w:uiPriority w:val="99"/>
    <w:pPr>
      <w:spacing w:after="120" w:line="480" w:lineRule="auto"/>
      <w:ind w:left="420" w:leftChars="200"/>
    </w:pPr>
  </w:style>
  <w:style w:type="paragraph" w:styleId="11">
    <w:name w:val="Balloon Text"/>
    <w:basedOn w:val="1"/>
    <w:link w:val="26"/>
    <w:semiHidden/>
    <w:qFormat/>
    <w:uiPriority w:val="99"/>
    <w:rPr>
      <w:sz w:val="18"/>
      <w:szCs w:val="18"/>
    </w:rPr>
  </w:style>
  <w:style w:type="paragraph" w:styleId="12">
    <w:name w:val="footer"/>
    <w:basedOn w:val="1"/>
    <w:link w:val="28"/>
    <w:qFormat/>
    <w:uiPriority w:val="99"/>
    <w:pPr>
      <w:tabs>
        <w:tab w:val="center" w:pos="4153"/>
        <w:tab w:val="right" w:pos="8306"/>
      </w:tabs>
      <w:snapToGrid w:val="0"/>
      <w:jc w:val="left"/>
    </w:pPr>
    <w:rPr>
      <w:sz w:val="18"/>
      <w:szCs w:val="18"/>
    </w:rPr>
  </w:style>
  <w:style w:type="paragraph" w:styleId="13">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HTML Preformatted"/>
    <w:basedOn w:val="1"/>
    <w:unhideWhenUsed/>
    <w:qFormat/>
    <w:uiPriority w:val="0"/>
    <w:pPr>
      <w:adjustRightInd w:val="0"/>
      <w:spacing w:line="360" w:lineRule="atLeast"/>
      <w:textAlignment w:val="baseline"/>
    </w:pPr>
    <w:rPr>
      <w:rFonts w:ascii="Courier New" w:hAnsi="Courier New"/>
      <w:kern w:val="0"/>
      <w:sz w:val="20"/>
      <w:szCs w:val="20"/>
    </w:rPr>
  </w:style>
  <w:style w:type="paragraph" w:styleId="16">
    <w:name w:val="Normal (Web)"/>
    <w:basedOn w:val="1"/>
    <w:qFormat/>
    <w:uiPriority w:val="99"/>
    <w:pPr>
      <w:spacing w:beforeAutospacing="1" w:afterAutospacing="1"/>
      <w:jc w:val="left"/>
    </w:pPr>
    <w:rPr>
      <w:kern w:val="0"/>
      <w:sz w:val="24"/>
    </w:rPr>
  </w:style>
  <w:style w:type="paragraph" w:styleId="17">
    <w:name w:val="Title"/>
    <w:basedOn w:val="1"/>
    <w:next w:val="1"/>
    <w:link w:val="36"/>
    <w:qFormat/>
    <w:locked/>
    <w:uiPriority w:val="0"/>
    <w:pPr>
      <w:spacing w:before="240" w:after="60"/>
      <w:jc w:val="center"/>
      <w:outlineLvl w:val="0"/>
    </w:pPr>
    <w:rPr>
      <w:rFonts w:asciiTheme="majorHAnsi" w:hAnsiTheme="majorHAnsi" w:cstheme="majorBidi"/>
      <w:b/>
      <w:bCs/>
      <w:sz w:val="32"/>
      <w:szCs w:val="32"/>
    </w:rPr>
  </w:style>
  <w:style w:type="table" w:styleId="19">
    <w:name w:val="Table Grid"/>
    <w:basedOn w:val="18"/>
    <w:unhideWhenUsed/>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basedOn w:val="20"/>
    <w:qFormat/>
    <w:uiPriority w:val="99"/>
    <w:rPr>
      <w:rFonts w:cs="Times New Roman"/>
      <w:color w:val="0000FF"/>
      <w:u w:val="single"/>
    </w:rPr>
  </w:style>
  <w:style w:type="paragraph" w:customStyle="1" w:styleId="22">
    <w:name w:val="正文1"/>
    <w:basedOn w:val="1"/>
    <w:qFormat/>
    <w:uiPriority w:val="0"/>
    <w:pPr>
      <w:spacing w:line="360" w:lineRule="auto"/>
      <w:ind w:firstLine="361"/>
    </w:pPr>
    <w:rPr>
      <w:rFonts w:ascii="宋体" w:hAnsi="宋体"/>
      <w:szCs w:val="24"/>
    </w:rPr>
  </w:style>
  <w:style w:type="character" w:customStyle="1" w:styleId="23">
    <w:name w:val="标题 1 Char"/>
    <w:basedOn w:val="20"/>
    <w:link w:val="5"/>
    <w:qFormat/>
    <w:locked/>
    <w:uiPriority w:val="99"/>
    <w:rPr>
      <w:rFonts w:cs="Times New Roman"/>
      <w:b/>
      <w:bCs/>
      <w:kern w:val="44"/>
      <w:sz w:val="44"/>
      <w:szCs w:val="44"/>
    </w:rPr>
  </w:style>
  <w:style w:type="paragraph" w:customStyle="1" w:styleId="24">
    <w:name w:val="列出段落1"/>
    <w:basedOn w:val="1"/>
    <w:qFormat/>
    <w:uiPriority w:val="99"/>
    <w:pPr>
      <w:ind w:firstLine="420" w:firstLineChars="200"/>
    </w:pPr>
  </w:style>
  <w:style w:type="paragraph" w:customStyle="1" w:styleId="25">
    <w:name w:val="TOC 标题1"/>
    <w:basedOn w:val="5"/>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26">
    <w:name w:val="批注框文本 Char"/>
    <w:basedOn w:val="20"/>
    <w:link w:val="11"/>
    <w:semiHidden/>
    <w:qFormat/>
    <w:locked/>
    <w:uiPriority w:val="99"/>
    <w:rPr>
      <w:rFonts w:cs="Times New Roman"/>
      <w:sz w:val="18"/>
      <w:szCs w:val="18"/>
    </w:rPr>
  </w:style>
  <w:style w:type="character" w:customStyle="1" w:styleId="27">
    <w:name w:val="页眉 Char"/>
    <w:basedOn w:val="20"/>
    <w:link w:val="13"/>
    <w:qFormat/>
    <w:locked/>
    <w:uiPriority w:val="99"/>
    <w:rPr>
      <w:rFonts w:cs="Times New Roman"/>
      <w:sz w:val="18"/>
      <w:szCs w:val="18"/>
    </w:rPr>
  </w:style>
  <w:style w:type="character" w:customStyle="1" w:styleId="28">
    <w:name w:val="页脚 Char"/>
    <w:basedOn w:val="20"/>
    <w:link w:val="12"/>
    <w:qFormat/>
    <w:locked/>
    <w:uiPriority w:val="99"/>
    <w:rPr>
      <w:rFonts w:cs="Times New Roman"/>
      <w:sz w:val="18"/>
      <w:szCs w:val="18"/>
    </w:rPr>
  </w:style>
  <w:style w:type="character" w:customStyle="1" w:styleId="29">
    <w:name w:val="文档结构图 Char"/>
    <w:basedOn w:val="20"/>
    <w:link w:val="7"/>
    <w:semiHidden/>
    <w:qFormat/>
    <w:locked/>
    <w:uiPriority w:val="99"/>
    <w:rPr>
      <w:rFonts w:ascii="Times New Roman" w:hAnsi="Times New Roman" w:cs="Times New Roman"/>
      <w:sz w:val="2"/>
    </w:rPr>
  </w:style>
  <w:style w:type="paragraph" w:customStyle="1" w:styleId="30">
    <w:name w:val="列出段落11"/>
    <w:basedOn w:val="1"/>
    <w:qFormat/>
    <w:uiPriority w:val="34"/>
    <w:pPr>
      <w:ind w:firstLine="420" w:firstLineChars="200"/>
    </w:pPr>
  </w:style>
  <w:style w:type="paragraph" w:customStyle="1" w:styleId="31">
    <w:name w:val="p0"/>
    <w:basedOn w:val="1"/>
    <w:qFormat/>
    <w:uiPriority w:val="0"/>
    <w:pPr>
      <w:widowControl/>
    </w:pPr>
    <w:rPr>
      <w:szCs w:val="21"/>
    </w:rPr>
  </w:style>
  <w:style w:type="character" w:customStyle="1" w:styleId="32">
    <w:name w:val="样式 小四 加粗"/>
    <w:basedOn w:val="20"/>
    <w:qFormat/>
    <w:uiPriority w:val="0"/>
    <w:rPr>
      <w:rFonts w:eastAsia="黑体"/>
      <w:b/>
      <w:bCs/>
      <w:sz w:val="24"/>
    </w:rPr>
  </w:style>
  <w:style w:type="character" w:customStyle="1" w:styleId="33">
    <w:name w:val="正文文本缩进 Char"/>
    <w:basedOn w:val="20"/>
    <w:link w:val="3"/>
    <w:semiHidden/>
    <w:qFormat/>
    <w:uiPriority w:val="99"/>
    <w:rPr>
      <w:rFonts w:ascii="Calibri" w:hAnsi="Calibri"/>
      <w:kern w:val="2"/>
      <w:sz w:val="21"/>
      <w:szCs w:val="22"/>
    </w:rPr>
  </w:style>
  <w:style w:type="character" w:customStyle="1" w:styleId="34">
    <w:name w:val="正文首行缩进 2 Char"/>
    <w:basedOn w:val="33"/>
    <w:link w:val="2"/>
    <w:qFormat/>
    <w:uiPriority w:val="99"/>
    <w:rPr>
      <w:rFonts w:ascii="Calibri" w:hAnsi="Calibri"/>
      <w:kern w:val="2"/>
      <w:sz w:val="32"/>
      <w:szCs w:val="24"/>
    </w:rPr>
  </w:style>
  <w:style w:type="paragraph" w:customStyle="1" w:styleId="35">
    <w:name w:val="p"/>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6">
    <w:name w:val="标题 Char"/>
    <w:basedOn w:val="20"/>
    <w:link w:val="17"/>
    <w:qFormat/>
    <w:uiPriority w:val="0"/>
    <w:rPr>
      <w:rFonts w:asciiTheme="majorHAnsi" w:hAnsiTheme="majorHAnsi" w:cstheme="majorBidi"/>
      <w:b/>
      <w:bCs/>
      <w:kern w:val="2"/>
      <w:sz w:val="32"/>
      <w:szCs w:val="32"/>
    </w:rPr>
  </w:style>
  <w:style w:type="paragraph" w:styleId="37">
    <w:name w:val="List Paragraph"/>
    <w:basedOn w:val="1"/>
    <w:qFormat/>
    <w:uiPriority w:val="99"/>
    <w:pPr>
      <w:ind w:firstLine="420" w:firstLineChars="200"/>
    </w:pPr>
  </w:style>
  <w:style w:type="character" w:customStyle="1" w:styleId="38">
    <w:name w:val="正文文本 Char"/>
    <w:basedOn w:val="20"/>
    <w:link w:val="8"/>
    <w:semiHidden/>
    <w:qFormat/>
    <w:uiPriority w:val="99"/>
    <w:rPr>
      <w:rFonts w:ascii="Calibri" w:hAnsi="Calibri"/>
      <w:kern w:val="2"/>
      <w:sz w:val="21"/>
      <w:szCs w:val="22"/>
    </w:rPr>
  </w:style>
  <w:style w:type="paragraph" w:customStyle="1" w:styleId="39">
    <w:name w:val="Normal_0_1"/>
    <w:qFormat/>
    <w:uiPriority w:val="0"/>
    <w:pPr>
      <w:widowControl w:val="0"/>
      <w:jc w:val="both"/>
    </w:pPr>
    <w:rPr>
      <w:rFonts w:ascii="Times New Roman" w:hAnsi="Times New Roman" w:eastAsia="宋体" w:cs="Times New Roman"/>
      <w:szCs w:val="24"/>
      <w:lang w:val="en-US" w:eastAsia="zh-CN" w:bidi="ar-SA"/>
    </w:rPr>
  </w:style>
  <w:style w:type="paragraph" w:customStyle="1" w:styleId="40">
    <w:name w:val="正文缩进2格"/>
    <w:basedOn w:val="1"/>
    <w:qFormat/>
    <w:uiPriority w:val="0"/>
    <w:pPr>
      <w:spacing w:line="600" w:lineRule="exact"/>
      <w:ind w:firstLine="639" w:firstLineChars="206"/>
    </w:pPr>
    <w:rPr>
      <w:rFonts w:ascii="仿宋_GB2312" w:hAnsi="宋体" w:eastAsia="仿宋_GB2312"/>
      <w:kern w:val="0"/>
      <w:sz w:val="28"/>
      <w:szCs w:val="20"/>
    </w:rPr>
  </w:style>
  <w:style w:type="paragraph" w:customStyle="1" w:styleId="41">
    <w:name w:val="正文缩进4格"/>
    <w:basedOn w:val="40"/>
    <w:qFormat/>
    <w:uiPriority w:val="0"/>
    <w:pPr>
      <w:ind w:left="2" w:firstLine="538" w:firstLineChars="192"/>
    </w:pPr>
    <w:rPr>
      <w:rFonts w:cs="Times New Roman"/>
      <w:color w:val="0000FF"/>
      <w:szCs w:val="28"/>
    </w:rPr>
  </w:style>
  <w:style w:type="paragraph" w:customStyle="1" w:styleId="42">
    <w:name w:val="2cxspmiddle"/>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B3F187-D82E-493C-94A7-7D75F72E506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1364</Words>
  <Characters>7779</Characters>
  <Lines>64</Lines>
  <Paragraphs>18</Paragraphs>
  <TotalTime>26</TotalTime>
  <ScaleCrop>false</ScaleCrop>
  <LinksUpToDate>false</LinksUpToDate>
  <CharactersWithSpaces>9125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2021-11-03T08:01:00Z</dcterms:created>
  <dc:creator>bailing</dc:creator>
  <cp:lastModifiedBy>ntrb1</cp:lastModifiedBy>
  <cp:lastPrinted>2021-12-07T08:18:00Z</cp:lastPrinted>
  <dcterms:modified xsi:type="dcterms:W3CDTF">2021-12-17T07:02:29Z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6833DC56F581446BB14D15C1CB4180F8</vt:lpwstr>
  </property>
</Properties>
</file>